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1C0571">
      <w:r>
        <w:rPr>
          <w:rFonts w:cstheme="minorHAnsi"/>
          <w:b/>
          <w:bCs/>
          <w:noProof/>
        </w:rPr>
        <w:drawing>
          <wp:anchor distT="0" distB="0" distL="114300" distR="114300" simplePos="0" relativeHeight="251658240" behindDoc="0" locked="0" layoutInCell="1" allowOverlap="1">
            <wp:simplePos x="0" y="0"/>
            <wp:positionH relativeFrom="column">
              <wp:posOffset>-323850</wp:posOffset>
            </wp:positionH>
            <wp:positionV relativeFrom="paragraph">
              <wp:posOffset>-561975</wp:posOffset>
            </wp:positionV>
            <wp:extent cx="2296800" cy="1026000"/>
            <wp:effectExtent l="0" t="0" r="825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367925" name="logo.png"/>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2296800" cy="1026000"/>
                    </a:xfrm>
                    <a:prstGeom prst="rect">
                      <a:avLst/>
                    </a:prstGeom>
                  </pic:spPr>
                </pic:pic>
              </a:graphicData>
            </a:graphic>
            <wp14:sizeRelH relativeFrom="page">
              <wp14:pctWidth>0</wp14:pctWidth>
            </wp14:sizeRelH>
            <wp14:sizeRelV relativeFrom="page">
              <wp14:pctHeight>0</wp14:pctHeight>
            </wp14:sizeRelV>
          </wp:anchor>
        </w:drawing>
      </w:r>
    </w:p>
    <w:p w:rsidR="001C0571"/>
    <w:p w:rsidR="00207F43"/>
    <w:p w:rsidR="00207F43"/>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5"/>
        <w:gridCol w:w="4678"/>
        <w:gridCol w:w="2552"/>
      </w:tblGrid>
      <w:tr w:rsidTr="00162B7F">
        <w:tblPrEx>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jc w:val="center"/>
        </w:trPr>
        <w:tc>
          <w:tcPr>
            <w:tcW w:w="2835" w:type="dxa"/>
            <w:shd w:val="clear" w:color="auto" w:fill="BFBFBF"/>
            <w:vAlign w:val="center"/>
          </w:tcPr>
          <w:p w:rsidR="00162B7F" w:rsidRPr="00D4431F" w:rsidP="00162B7F">
            <w:pPr>
              <w:jc w:val="center"/>
              <w:rPr>
                <w:rFonts w:cstheme="minorHAnsi"/>
                <w:b/>
                <w:bCs/>
              </w:rPr>
            </w:pPr>
            <w:bookmarkStart w:id="0" w:name="_Hlk75350991"/>
            <w:bookmarkEnd w:id="0"/>
            <w:r>
              <w:rPr>
                <w:rFonts w:cstheme="minorHAnsi"/>
                <w:b/>
                <w:bCs/>
              </w:rPr>
              <w:t>Report of</w:t>
            </w:r>
          </w:p>
        </w:tc>
        <w:tc>
          <w:tcPr>
            <w:tcW w:w="4678" w:type="dxa"/>
            <w:shd w:val="clear" w:color="auto" w:fill="BFBFBF"/>
          </w:tcPr>
          <w:p w:rsidR="00162B7F" w:rsidP="00162B7F">
            <w:pPr>
              <w:jc w:val="center"/>
              <w:rPr>
                <w:rFonts w:cstheme="minorHAnsi"/>
                <w:b/>
                <w:bCs/>
              </w:rPr>
            </w:pPr>
            <w:r>
              <w:rPr>
                <w:rFonts w:cstheme="minorHAnsi"/>
                <w:b/>
                <w:bCs/>
              </w:rPr>
              <w:t>Meeting</w:t>
            </w:r>
          </w:p>
        </w:tc>
        <w:tc>
          <w:tcPr>
            <w:tcW w:w="2552" w:type="dxa"/>
            <w:shd w:val="clear" w:color="auto" w:fill="BFBFBF"/>
            <w:vAlign w:val="center"/>
          </w:tcPr>
          <w:p w:rsidR="00162B7F" w:rsidRPr="00D4431F" w:rsidP="00162B7F">
            <w:pPr>
              <w:jc w:val="center"/>
              <w:rPr>
                <w:rFonts w:cstheme="minorHAnsi"/>
                <w:b/>
                <w:bCs/>
              </w:rPr>
            </w:pPr>
            <w:r>
              <w:rPr>
                <w:rFonts w:cstheme="minorHAnsi"/>
                <w:b/>
                <w:bCs/>
              </w:rPr>
              <w:t>Date</w:t>
            </w:r>
          </w:p>
        </w:tc>
      </w:tr>
      <w:tr w:rsidTr="00162B7F">
        <w:tblPrEx>
          <w:tblW w:w="10065" w:type="dxa"/>
          <w:jc w:val="center"/>
          <w:tblLook w:val="0000"/>
        </w:tblPrEx>
        <w:trPr>
          <w:cantSplit/>
          <w:trHeight w:val="942"/>
          <w:jc w:val="center"/>
        </w:trPr>
        <w:tc>
          <w:tcPr>
            <w:tcW w:w="2835" w:type="dxa"/>
            <w:vAlign w:val="center"/>
          </w:tcPr>
          <w:p w:rsidR="005A6B14" w:rsidRPr="00ED4FF1" w:rsidP="005A6B14">
            <w:pPr>
              <w:jc w:val="center"/>
            </w:pPr>
            <w:bookmarkStart w:id="1" w:name="_GoBack"/>
            <w:r w:rsidRPr="00ED4FF1">
              <w:fldChar w:fldCharType="begin"/>
            </w:r>
            <w:r>
              <w:instrText xml:space="preserve"> DOCPROPERTY  LeadDirector  \* MERGEFORMAT </w:instrText>
            </w:r>
            <w:r w:rsidRPr="00ED4FF1">
              <w:fldChar w:fldCharType="separate"/>
            </w:r>
            <w:r w:rsidRPr="00ED4FF1">
              <w:t>Director of Finance and Section 151 Officer</w:t>
            </w:r>
            <w:r w:rsidRPr="00ED4FF1">
              <w:fldChar w:fldCharType="end"/>
            </w:r>
          </w:p>
          <w:p w:rsidR="005A6B14" w:rsidRPr="00ED4FF1" w:rsidP="005A6B14">
            <w:pPr>
              <w:jc w:val="center"/>
            </w:pPr>
            <w:r w:rsidRPr="00ED4FF1">
              <w:t xml:space="preserve">(Introduced by </w:t>
            </w:r>
            <w:r w:rsidRPr="00ED4FF1">
              <w:fldChar w:fldCharType="begin"/>
            </w:r>
            <w:r>
              <w:instrText xml:space="preserve"> DOCPROPERTY  LeadMember  \* MERGEFORMAT </w:instrText>
            </w:r>
            <w:r w:rsidRPr="00ED4FF1">
              <w:fldChar w:fldCharType="separate"/>
            </w:r>
            <w:r w:rsidRPr="00ED4FF1">
              <w:t>Cabinet Member (Finance, Property and Assets)</w:t>
            </w:r>
            <w:r w:rsidRPr="00ED4FF1">
              <w:fldChar w:fldCharType="end"/>
            </w:r>
            <w:r w:rsidRPr="00ED4FF1">
              <w:t>)</w:t>
            </w:r>
          </w:p>
        </w:tc>
        <w:tc>
          <w:tcPr>
            <w:tcW w:w="4678" w:type="dxa"/>
            <w:vAlign w:val="center"/>
          </w:tcPr>
          <w:p w:rsidR="005A6B14" w:rsidRPr="00953774" w:rsidP="00E93C26">
            <w:pPr>
              <w:spacing w:after="120"/>
              <w:jc w:val="center"/>
              <w:rPr>
                <w:rFonts w:cstheme="minorHAnsi"/>
              </w:rPr>
            </w:pPr>
          </w:p>
          <w:p w:rsidR="005A6B14" w:rsidRPr="00953774" w:rsidP="00E93C26">
            <w:pPr>
              <w:spacing w:after="120"/>
              <w:jc w:val="center"/>
              <w:rPr>
                <w:rFonts w:cstheme="minorHAnsi"/>
              </w:rPr>
            </w:pPr>
            <w:r w:rsidRPr="00953774">
              <w:rPr>
                <w:rFonts w:cstheme="minorHAnsi"/>
              </w:rPr>
              <w:t xml:space="preserve">Scrutiny Budget and </w:t>
            </w:r>
            <w:r w:rsidRPr="00953774">
              <w:rPr>
                <w:rFonts w:cstheme="minorHAnsi"/>
              </w:rPr>
              <w:t>Performance Panel</w:t>
            </w:r>
          </w:p>
          <w:p w:rsidR="005A6B14" w:rsidRPr="00ED4FF1" w:rsidP="00E93C26">
            <w:pPr>
              <w:spacing w:after="120"/>
              <w:jc w:val="center"/>
              <w:rPr>
                <w:rFonts w:cstheme="minorHAnsi"/>
              </w:rPr>
            </w:pPr>
            <w:r w:rsidRPr="00953774">
              <w:rPr>
                <w:rFonts w:cstheme="minorHAnsi"/>
              </w:rPr>
              <w:t>Cabinet</w:t>
            </w:r>
          </w:p>
        </w:tc>
        <w:tc>
          <w:tcPr>
            <w:tcW w:w="2552" w:type="dxa"/>
            <w:vAlign w:val="center"/>
          </w:tcPr>
          <w:p w:rsidR="005A6B14" w:rsidRPr="00953774" w:rsidP="00E93C26">
            <w:pPr>
              <w:spacing w:after="120"/>
              <w:jc w:val="center"/>
              <w:rPr>
                <w:rFonts w:cstheme="minorHAnsi"/>
              </w:rPr>
            </w:pPr>
          </w:p>
          <w:p w:rsidR="005A6B14" w:rsidRPr="00953774" w:rsidP="00E93C26">
            <w:pPr>
              <w:spacing w:after="120"/>
              <w:jc w:val="center"/>
              <w:rPr>
                <w:rFonts w:cstheme="minorHAnsi"/>
              </w:rPr>
            </w:pPr>
            <w:r>
              <w:rPr>
                <w:rFonts w:cstheme="minorHAnsi"/>
              </w:rPr>
              <w:t>21st</w:t>
            </w:r>
            <w:r w:rsidRPr="00953774">
              <w:rPr>
                <w:rFonts w:cstheme="minorHAnsi"/>
              </w:rPr>
              <w:t xml:space="preserve"> March 2022</w:t>
            </w:r>
          </w:p>
          <w:p w:rsidR="005A6B14" w:rsidRPr="00ED4FF1" w:rsidP="00E93C26">
            <w:pPr>
              <w:spacing w:after="120"/>
              <w:jc w:val="center"/>
              <w:rPr>
                <w:rFonts w:cstheme="minorHAnsi"/>
              </w:rPr>
            </w:pPr>
            <w:r w:rsidRPr="00953774">
              <w:rPr>
                <w:rFonts w:cstheme="minorHAnsi"/>
              </w:rPr>
              <w:t>23</w:t>
            </w:r>
            <w:r w:rsidRPr="00953774">
              <w:rPr>
                <w:rFonts w:cstheme="minorHAnsi"/>
                <w:vertAlign w:val="superscript"/>
              </w:rPr>
              <w:t>rd</w:t>
            </w:r>
            <w:r w:rsidRPr="00953774">
              <w:rPr>
                <w:rFonts w:cstheme="minorHAnsi"/>
              </w:rPr>
              <w:t xml:space="preserve"> March 2022</w:t>
            </w:r>
          </w:p>
        </w:tc>
      </w:tr>
    </w:tbl>
    <w:p w:rsidR="00162B7F" w:rsidP="00162B7F">
      <w:bookmarkEnd w:id="1"/>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2"/>
        <w:gridCol w:w="4683"/>
      </w:tblGrid>
      <w:tr w:rsidTr="00826DFA">
        <w:tblPrEx>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67"/>
          <w:jc w:val="center"/>
        </w:trPr>
        <w:tc>
          <w:tcPr>
            <w:tcW w:w="5382" w:type="dxa"/>
            <w:shd w:val="clear" w:color="auto" w:fill="auto"/>
            <w:vAlign w:val="center"/>
          </w:tcPr>
          <w:p w:rsidR="00162B7F" w:rsidRPr="00D1305C" w:rsidP="00162B7F">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683" w:type="dxa"/>
            <w:shd w:val="clear" w:color="auto" w:fill="auto"/>
            <w:vAlign w:val="center"/>
          </w:tcPr>
          <w:p w:rsidR="00162B7F" w:rsidRPr="00E42F6B" w:rsidP="00162B7F">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tc>
      </w:tr>
    </w:tbl>
    <w:p w:rsidR="00162B7F" w:rsidP="00162B7F"/>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2"/>
        <w:gridCol w:w="4687"/>
      </w:tblGrid>
      <w:tr w:rsidTr="00826DFA">
        <w:tblPrEx>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67"/>
          <w:jc w:val="center"/>
        </w:trPr>
        <w:tc>
          <w:tcPr>
            <w:tcW w:w="5382" w:type="dxa"/>
            <w:shd w:val="clear" w:color="auto" w:fill="auto"/>
            <w:vAlign w:val="center"/>
          </w:tcPr>
          <w:p w:rsidR="00162B7F" w:rsidRPr="00D1305C" w:rsidP="00162B7F">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687" w:type="dxa"/>
            <w:shd w:val="clear" w:color="auto" w:fill="auto"/>
            <w:vAlign w:val="center"/>
          </w:tcPr>
          <w:p w:rsidR="00162B7F" w:rsidRPr="00284E95" w:rsidP="00162B7F">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Yes</w:t>
            </w:r>
          </w:p>
        </w:tc>
      </w:tr>
    </w:tbl>
    <w:p w:rsidR="00162B7F" w:rsidP="00162B7F"/>
    <w:tbl>
      <w:tblPr>
        <w:tblStyle w:val="TableGrid"/>
        <w:tblW w:w="10070" w:type="dxa"/>
        <w:jc w:val="center"/>
        <w:tblLook w:val="04A0"/>
      </w:tblPr>
      <w:tblGrid>
        <w:gridCol w:w="5392"/>
        <w:gridCol w:w="4678"/>
      </w:tblGrid>
      <w:tr w:rsidTr="00826DFA">
        <w:tblPrEx>
          <w:tblW w:w="10070" w:type="dxa"/>
          <w:jc w:val="center"/>
          <w:tblLook w:val="04A0"/>
        </w:tblPrEx>
        <w:trPr>
          <w:trHeight w:val="567"/>
          <w:jc w:val="center"/>
        </w:trPr>
        <w:tc>
          <w:tcPr>
            <w:tcW w:w="5392" w:type="dxa"/>
            <w:vAlign w:val="center"/>
          </w:tcPr>
          <w:p w:rsidR="00162B7F" w:rsidRPr="00826DFA" w:rsidP="00826DFA">
            <w:pPr>
              <w:rPr>
                <w:b/>
              </w:rPr>
            </w:pPr>
            <w:r w:rsidRPr="00826DFA">
              <w:rPr>
                <w:b/>
                <w:lang w:eastAsia="en-GB"/>
              </w:rPr>
              <w:t>Savings or expenditure amounting to greater than £100,000</w:t>
            </w:r>
          </w:p>
        </w:tc>
        <w:tc>
          <w:tcPr>
            <w:tcW w:w="4678" w:type="dxa"/>
            <w:vAlign w:val="center"/>
          </w:tcPr>
          <w:p w:rsidR="00162B7F" w:rsidRPr="00826DFA" w:rsidP="00826DFA">
            <w:pPr>
              <w:rPr>
                <w:b/>
              </w:rPr>
            </w:pPr>
            <w:r w:rsidRPr="00826DFA">
              <w:rPr>
                <w:b/>
                <w:lang w:eastAsia="en-GB"/>
              </w:rPr>
              <w:t>Significant impact on 2 or more council wards</w:t>
            </w:r>
          </w:p>
        </w:tc>
      </w:tr>
    </w:tbl>
    <w:p w:rsidR="00162B7F" w:rsidP="00162B7F"/>
    <w:p w:rsidR="00826DFA" w:rsidP="00162B7F"/>
    <w:p w:rsidR="00162B7F" w:rsidRPr="00052DF7" w:rsidP="00052DF7">
      <w:pPr>
        <w:pStyle w:val="Title"/>
        <w:rPr>
          <w:u w:val="none"/>
        </w:rPr>
      </w:pPr>
      <w:r w:rsidRPr="00052DF7">
        <w:rPr>
          <w:u w:val="none"/>
        </w:rPr>
        <w:t xml:space="preserve">2021/22 Capital </w:t>
      </w:r>
      <w:r w:rsidRPr="00052DF7">
        <w:rPr>
          <w:u w:val="none"/>
        </w:rPr>
        <w:t>Programme and Balance Sheet Monitoring Report – position as at 31st January 2022</w:t>
      </w:r>
    </w:p>
    <w:p w:rsidR="00162B7F" w:rsidRPr="00207F43" w:rsidP="00207F43">
      <w:pPr>
        <w:pStyle w:val="Heading2"/>
      </w:pPr>
      <w:r w:rsidRPr="00207F43">
        <w:t>Purpose of the Report</w:t>
      </w:r>
    </w:p>
    <w:p w:rsidR="00162B7F" w:rsidRPr="003E3722" w:rsidP="00162B7F">
      <w:pPr>
        <w:numPr>
          <w:ilvl w:val="0"/>
          <w:numId w:val="8"/>
        </w:numPr>
        <w:jc w:val="both"/>
        <w:rPr>
          <w:rFonts w:cstheme="minorHAnsi"/>
          <w:bCs/>
          <w:iCs/>
        </w:rPr>
      </w:pPr>
      <w:r w:rsidRPr="001668A0">
        <w:rPr>
          <w:rFonts w:cstheme="minorHAnsi"/>
          <w:bCs/>
          <w:iCs/>
        </w:rPr>
        <w:t xml:space="preserve">This report </w:t>
      </w:r>
      <w:r>
        <w:rPr>
          <w:rFonts w:cstheme="minorHAnsi"/>
          <w:bCs/>
          <w:iCs/>
        </w:rPr>
        <w:t xml:space="preserve">outlines </w:t>
      </w:r>
      <w:r w:rsidRPr="00ED0A43">
        <w:rPr>
          <w:rFonts w:cstheme="minorHAnsi"/>
          <w:bCs/>
          <w:iCs/>
        </w:rPr>
        <w:t xml:space="preserve">the overall financial position of the Council in respect of the capital programme as at </w:t>
      </w:r>
      <w:r>
        <w:rPr>
          <w:rFonts w:cstheme="minorHAnsi"/>
          <w:bCs/>
          <w:iCs/>
        </w:rPr>
        <w:t>31st January 2022</w:t>
      </w:r>
      <w:r w:rsidRPr="00ED0A43">
        <w:rPr>
          <w:rFonts w:cstheme="minorHAnsi"/>
          <w:bCs/>
          <w:iCs/>
        </w:rPr>
        <w:t xml:space="preserve">, highlighting key </w:t>
      </w:r>
      <w:r w:rsidRPr="00ED0A43">
        <w:rPr>
          <w:rFonts w:cstheme="minorHAnsi"/>
          <w:bCs/>
          <w:iCs/>
        </w:rPr>
        <w:t>issues and explaining key variances</w:t>
      </w:r>
      <w:r>
        <w:rPr>
          <w:rFonts w:cstheme="minorHAnsi"/>
          <w:bCs/>
          <w:iCs/>
        </w:rPr>
        <w:t>, and provides an overview of various elements of the Council’s Balance Sheet as at 31st January 2022.</w:t>
      </w:r>
    </w:p>
    <w:p w:rsidR="00162B7F" w:rsidP="00162B7F">
      <w:pPr>
        <w:jc w:val="both"/>
        <w:rPr>
          <w:rFonts w:cstheme="minorHAnsi"/>
          <w:bCs/>
        </w:rPr>
      </w:pPr>
    </w:p>
    <w:p w:rsidR="00826DFA" w:rsidP="00162B7F">
      <w:pPr>
        <w:jc w:val="both"/>
        <w:rPr>
          <w:rFonts w:cstheme="minorHAnsi"/>
          <w:bCs/>
        </w:rPr>
      </w:pPr>
    </w:p>
    <w:p w:rsidR="00162B7F" w:rsidRPr="00ED4FF1" w:rsidP="00162B7F">
      <w:pPr>
        <w:pStyle w:val="Heading2"/>
      </w:pPr>
      <w:r w:rsidRPr="00ED4FF1">
        <w:t>Recommendations</w:t>
      </w:r>
      <w:r>
        <w:t xml:space="preserve"> to Cabinet</w:t>
      </w:r>
    </w:p>
    <w:p w:rsidR="00162B7F" w:rsidP="00162B7F">
      <w:pPr>
        <w:numPr>
          <w:ilvl w:val="0"/>
          <w:numId w:val="8"/>
        </w:numPr>
        <w:jc w:val="both"/>
        <w:rPr>
          <w:rFonts w:cstheme="minorHAnsi"/>
          <w:bCs/>
          <w:iCs/>
        </w:rPr>
      </w:pPr>
      <w:r w:rsidRPr="00ED0A43">
        <w:rPr>
          <w:rFonts w:cstheme="minorHAnsi"/>
          <w:bCs/>
          <w:iCs/>
        </w:rPr>
        <w:t xml:space="preserve">To approve the revised capital programme as attached at </w:t>
      </w:r>
      <w:r w:rsidRPr="00C25EDA">
        <w:rPr>
          <w:rFonts w:cstheme="minorHAnsi"/>
          <w:b/>
          <w:bCs/>
          <w:iCs/>
        </w:rPr>
        <w:t>Appendix A</w:t>
      </w:r>
      <w:r w:rsidRPr="00ED0A43">
        <w:rPr>
          <w:rFonts w:cstheme="minorHAnsi"/>
          <w:bCs/>
          <w:iCs/>
        </w:rPr>
        <w:t xml:space="preserve"> which </w:t>
      </w:r>
      <w:r>
        <w:rPr>
          <w:rFonts w:cstheme="minorHAnsi"/>
          <w:bCs/>
        </w:rPr>
        <w:t xml:space="preserve">includes </w:t>
      </w:r>
      <w:r w:rsidRPr="0019781A">
        <w:rPr>
          <w:rFonts w:cstheme="minorHAnsi"/>
          <w:bCs/>
        </w:rPr>
        <w:t>approve</w:t>
      </w:r>
      <w:r w:rsidRPr="0019781A">
        <w:rPr>
          <w:rFonts w:cstheme="minorHAnsi"/>
          <w:bCs/>
        </w:rPr>
        <w:t>d amendments to the programme</w:t>
      </w:r>
      <w:r>
        <w:rPr>
          <w:rFonts w:cstheme="minorHAnsi"/>
          <w:bCs/>
        </w:rPr>
        <w:t xml:space="preserve">, as detailed at </w:t>
      </w:r>
      <w:r w:rsidRPr="00B13F3B">
        <w:rPr>
          <w:rFonts w:cstheme="minorHAnsi"/>
          <w:bCs/>
        </w:rPr>
        <w:t>point 11 of</w:t>
      </w:r>
      <w:r>
        <w:rPr>
          <w:rFonts w:cstheme="minorHAnsi"/>
          <w:bCs/>
        </w:rPr>
        <w:t xml:space="preserve"> this report, since the last Capital Monitoring report was approved by Cabinet in November 2021;</w:t>
      </w:r>
    </w:p>
    <w:p w:rsidR="00162B7F" w:rsidP="00162B7F">
      <w:pPr>
        <w:ind w:left="360"/>
        <w:jc w:val="both"/>
        <w:rPr>
          <w:rFonts w:cstheme="minorHAnsi"/>
          <w:bCs/>
          <w:iCs/>
        </w:rPr>
      </w:pPr>
    </w:p>
    <w:p w:rsidR="00162B7F" w:rsidRPr="0033796E" w:rsidP="00162B7F">
      <w:pPr>
        <w:numPr>
          <w:ilvl w:val="0"/>
          <w:numId w:val="8"/>
        </w:numPr>
        <w:jc w:val="both"/>
        <w:rPr>
          <w:rFonts w:cstheme="minorHAnsi"/>
          <w:bCs/>
          <w:iCs/>
        </w:rPr>
      </w:pPr>
      <w:r>
        <w:rPr>
          <w:rFonts w:cstheme="minorHAnsi"/>
          <w:bCs/>
          <w:iCs/>
        </w:rPr>
        <w:t>To n</w:t>
      </w:r>
      <w:r w:rsidRPr="0033796E">
        <w:rPr>
          <w:rFonts w:cstheme="minorHAnsi"/>
          <w:bCs/>
          <w:iCs/>
        </w:rPr>
        <w:t xml:space="preserve">ote the variations to the programme, (which are detailed, by scheme, at </w:t>
      </w:r>
      <w:r w:rsidRPr="0033796E">
        <w:rPr>
          <w:rFonts w:cstheme="minorHAnsi"/>
          <w:b/>
          <w:bCs/>
          <w:iCs/>
        </w:rPr>
        <w:t xml:space="preserve">Appendix B </w:t>
      </w:r>
      <w:r w:rsidRPr="0033796E">
        <w:rPr>
          <w:rFonts w:cstheme="minorHAnsi"/>
          <w:bCs/>
        </w:rPr>
        <w:t>and referenced</w:t>
      </w:r>
      <w:r w:rsidRPr="0033796E">
        <w:rPr>
          <w:rFonts w:cstheme="minorHAnsi"/>
          <w:bCs/>
        </w:rPr>
        <w:t xml:space="preserve"> within the body of the report);</w:t>
      </w:r>
    </w:p>
    <w:p w:rsidR="00162B7F" w:rsidRPr="0033796E" w:rsidP="00162B7F">
      <w:pPr>
        <w:jc w:val="both"/>
        <w:rPr>
          <w:rFonts w:cstheme="minorHAnsi"/>
          <w:bCs/>
          <w:iCs/>
        </w:rPr>
      </w:pPr>
    </w:p>
    <w:p w:rsidR="00162B7F" w:rsidRPr="0033796E" w:rsidP="00162B7F">
      <w:pPr>
        <w:numPr>
          <w:ilvl w:val="0"/>
          <w:numId w:val="8"/>
        </w:numPr>
        <w:jc w:val="both"/>
        <w:rPr>
          <w:rFonts w:cstheme="minorHAnsi"/>
          <w:bCs/>
          <w:iCs/>
        </w:rPr>
      </w:pPr>
      <w:r w:rsidRPr="0033796E">
        <w:rPr>
          <w:rFonts w:cstheme="minorHAnsi"/>
          <w:bCs/>
          <w:iCs/>
        </w:rPr>
        <w:t>To note the position in the Balance Sheet Monitoring section of the report in respect of cash, investment and loan balances as at 31</w:t>
      </w:r>
      <w:r w:rsidRPr="0033796E">
        <w:rPr>
          <w:rFonts w:cstheme="minorHAnsi"/>
          <w:bCs/>
          <w:iCs/>
          <w:vertAlign w:val="superscript"/>
        </w:rPr>
        <w:t>st</w:t>
      </w:r>
      <w:r w:rsidRPr="0033796E">
        <w:rPr>
          <w:rFonts w:cstheme="minorHAnsi"/>
          <w:bCs/>
          <w:iCs/>
        </w:rPr>
        <w:t xml:space="preserve"> December 2021, and debtors as at 31</w:t>
      </w:r>
      <w:r w:rsidRPr="0033796E">
        <w:rPr>
          <w:rFonts w:cstheme="minorHAnsi"/>
          <w:bCs/>
          <w:iCs/>
          <w:vertAlign w:val="superscript"/>
        </w:rPr>
        <w:t>st</w:t>
      </w:r>
      <w:r w:rsidRPr="0033796E">
        <w:rPr>
          <w:rFonts w:cstheme="minorHAnsi"/>
          <w:bCs/>
          <w:iCs/>
        </w:rPr>
        <w:t xml:space="preserve"> January 2022.</w:t>
      </w:r>
    </w:p>
    <w:p w:rsidR="00162B7F" w:rsidP="00162B7F">
      <w:pPr>
        <w:jc w:val="both"/>
        <w:rPr>
          <w:rFonts w:cstheme="minorHAnsi"/>
          <w:bCs/>
          <w:iCs/>
        </w:rPr>
      </w:pPr>
    </w:p>
    <w:p w:rsidR="00826DFA" w:rsidP="00162B7F">
      <w:pPr>
        <w:jc w:val="both"/>
        <w:rPr>
          <w:rFonts w:cstheme="minorHAnsi"/>
          <w:bCs/>
          <w:iCs/>
        </w:rPr>
      </w:pPr>
    </w:p>
    <w:p w:rsidR="00162B7F" w:rsidRPr="00ED4FF1" w:rsidP="00162B7F">
      <w:pPr>
        <w:pStyle w:val="Heading2"/>
        <w:rPr>
          <w:sz w:val="8"/>
        </w:rPr>
      </w:pPr>
      <w:r>
        <w:t xml:space="preserve">Reasons for </w:t>
      </w:r>
      <w:r>
        <w:t>Recommendations</w:t>
      </w:r>
    </w:p>
    <w:p w:rsidR="00162B7F" w:rsidRPr="005E48B7" w:rsidP="00162B7F">
      <w:pPr>
        <w:numPr>
          <w:ilvl w:val="0"/>
          <w:numId w:val="8"/>
        </w:numPr>
        <w:jc w:val="both"/>
        <w:rPr>
          <w:rFonts w:cstheme="minorHAnsi"/>
          <w:bCs/>
          <w:iCs/>
        </w:rPr>
      </w:pPr>
      <w:r w:rsidRPr="005E48B7">
        <w:rPr>
          <w:rFonts w:cstheme="minorHAnsi"/>
          <w:bCs/>
          <w:iCs/>
        </w:rPr>
        <w:t>To ensure the Council’s Capital Programme is monitored effectively.</w:t>
      </w:r>
    </w:p>
    <w:p w:rsidR="00162B7F" w:rsidP="00162B7F">
      <w:pPr>
        <w:jc w:val="both"/>
        <w:rPr>
          <w:rFonts w:cstheme="minorHAnsi"/>
          <w:bCs/>
        </w:rPr>
      </w:pPr>
    </w:p>
    <w:p w:rsidR="00162B7F" w:rsidP="00162B7F">
      <w:pPr>
        <w:jc w:val="both"/>
        <w:rPr>
          <w:rFonts w:cstheme="minorHAnsi"/>
          <w:bCs/>
        </w:rPr>
      </w:pPr>
    </w:p>
    <w:p w:rsidR="00162B7F" w:rsidRPr="00ED4FF1" w:rsidP="00162B7F">
      <w:pPr>
        <w:pStyle w:val="Heading2"/>
        <w:rPr>
          <w:sz w:val="8"/>
        </w:rPr>
      </w:pPr>
      <w:r>
        <w:t>Alternative Options Considered and Rejected</w:t>
      </w:r>
    </w:p>
    <w:p w:rsidR="00162B7F" w:rsidRPr="003E3722" w:rsidP="00162B7F">
      <w:pPr>
        <w:numPr>
          <w:ilvl w:val="0"/>
          <w:numId w:val="8"/>
        </w:numPr>
        <w:jc w:val="both"/>
        <w:rPr>
          <w:rFonts w:cstheme="minorHAnsi"/>
          <w:bCs/>
          <w:iCs/>
        </w:rPr>
      </w:pPr>
      <w:r>
        <w:rPr>
          <w:rFonts w:cstheme="minorHAnsi"/>
          <w:bCs/>
          <w:iCs/>
        </w:rPr>
        <w:t>None</w:t>
      </w:r>
    </w:p>
    <w:p w:rsidR="00162B7F" w:rsidP="00162B7F">
      <w:pPr>
        <w:jc w:val="both"/>
        <w:rPr>
          <w:rFonts w:cstheme="minorHAnsi"/>
          <w:bCs/>
          <w:iCs/>
        </w:rPr>
      </w:pPr>
    </w:p>
    <w:p w:rsidR="00162B7F" w:rsidP="00162B7F">
      <w:pPr>
        <w:jc w:val="both"/>
        <w:rPr>
          <w:rFonts w:cstheme="minorHAnsi"/>
          <w:bCs/>
          <w:iCs/>
        </w:rPr>
      </w:pPr>
    </w:p>
    <w:p w:rsidR="00162B7F" w:rsidRPr="00ED4FF1" w:rsidP="00162B7F">
      <w:pPr>
        <w:pStyle w:val="Heading2"/>
      </w:pPr>
      <w:r w:rsidRPr="00ED4FF1">
        <w:t>Corporate priorities</w:t>
      </w:r>
    </w:p>
    <w:p w:rsidR="00162B7F" w:rsidP="00162B7F">
      <w:pPr>
        <w:numPr>
          <w:ilvl w:val="0"/>
          <w:numId w:val="8"/>
        </w:numPr>
        <w:jc w:val="both"/>
        <w:rPr>
          <w:rFonts w:cstheme="minorHAnsi"/>
          <w:bCs/>
          <w:i/>
        </w:rPr>
      </w:pPr>
      <w:r w:rsidRPr="00D4431F">
        <w:rPr>
          <w:rFonts w:cstheme="minorHAnsi"/>
          <w:bCs/>
        </w:rPr>
        <w:t xml:space="preserve"> The report relates to the following corporate priorities:</w:t>
      </w:r>
    </w:p>
    <w:p w:rsidR="00162B7F" w:rsidRPr="006149F1" w:rsidP="00162B7F">
      <w:pPr>
        <w:ind w:left="360"/>
        <w:jc w:val="both"/>
        <w:rPr>
          <w:rFonts w:cstheme="minorHAnsi"/>
          <w:bCs/>
          <w:i/>
        </w:rPr>
      </w:pPr>
    </w:p>
    <w:tbl>
      <w:tblPr>
        <w:tblW w:w="95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8"/>
        <w:gridCol w:w="4678"/>
      </w:tblGrid>
      <w:tr w:rsidTr="00896313">
        <w:tblPrEx>
          <w:tblW w:w="95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67"/>
        </w:trPr>
        <w:tc>
          <w:tcPr>
            <w:tcW w:w="4848" w:type="dxa"/>
            <w:shd w:val="clear" w:color="auto" w:fill="auto"/>
            <w:vAlign w:val="center"/>
          </w:tcPr>
          <w:p w:rsidR="00162B7F" w:rsidRPr="00E42F6B" w:rsidP="00162B7F">
            <w:pPr>
              <w:jc w:val="center"/>
              <w:rPr>
                <w:rFonts w:cstheme="minorHAnsi"/>
                <w:b/>
                <w:bCs/>
              </w:rPr>
            </w:pPr>
            <w:r w:rsidRPr="00E42F6B">
              <w:rPr>
                <w:rFonts w:cstheme="minorHAnsi"/>
                <w:b/>
                <w:bCs/>
              </w:rPr>
              <w:t>An exemplary council</w:t>
            </w:r>
          </w:p>
        </w:tc>
        <w:tc>
          <w:tcPr>
            <w:tcW w:w="4678" w:type="dxa"/>
            <w:vAlign w:val="center"/>
          </w:tcPr>
          <w:p w:rsidR="00162B7F" w:rsidRPr="00E42F6B" w:rsidP="00162B7F">
            <w:pPr>
              <w:jc w:val="center"/>
              <w:rPr>
                <w:rFonts w:cstheme="minorHAnsi"/>
                <w:b/>
                <w:bCs/>
              </w:rPr>
            </w:pPr>
            <w:r w:rsidRPr="00E42F6B">
              <w:rPr>
                <w:rFonts w:cstheme="minorHAnsi"/>
                <w:b/>
                <w:bCs/>
              </w:rPr>
              <w:t>Thriving communities</w:t>
            </w:r>
          </w:p>
        </w:tc>
      </w:tr>
      <w:tr w:rsidTr="00896313">
        <w:tblPrEx>
          <w:tblW w:w="9526" w:type="dxa"/>
          <w:tblInd w:w="-5" w:type="dxa"/>
          <w:tblLook w:val="04A0"/>
        </w:tblPrEx>
        <w:trPr>
          <w:trHeight w:val="567"/>
        </w:trPr>
        <w:tc>
          <w:tcPr>
            <w:tcW w:w="4848" w:type="dxa"/>
            <w:shd w:val="clear" w:color="auto" w:fill="auto"/>
            <w:vAlign w:val="center"/>
          </w:tcPr>
          <w:p w:rsidR="00162B7F" w:rsidRPr="00E42F6B" w:rsidP="00162B7F">
            <w:pPr>
              <w:jc w:val="center"/>
              <w:rPr>
                <w:rFonts w:cstheme="minorHAnsi"/>
                <w:b/>
                <w:bCs/>
              </w:rPr>
            </w:pPr>
            <w:r w:rsidRPr="00E42F6B">
              <w:rPr>
                <w:rFonts w:cstheme="minorHAnsi"/>
                <w:b/>
                <w:bCs/>
              </w:rPr>
              <w:t>A fair local economy that works for everyone</w:t>
            </w:r>
          </w:p>
        </w:tc>
        <w:tc>
          <w:tcPr>
            <w:tcW w:w="4678" w:type="dxa"/>
            <w:vAlign w:val="center"/>
          </w:tcPr>
          <w:p w:rsidR="00162B7F" w:rsidRPr="00E42F6B" w:rsidP="00162B7F">
            <w:pPr>
              <w:jc w:val="center"/>
              <w:rPr>
                <w:rFonts w:cstheme="minorHAnsi"/>
                <w:b/>
                <w:bCs/>
              </w:rPr>
            </w:pPr>
            <w:r w:rsidRPr="00E42F6B">
              <w:rPr>
                <w:rFonts w:cstheme="minorHAnsi"/>
                <w:b/>
                <w:bCs/>
              </w:rPr>
              <w:t>Good homes, green spaces, healthy places</w:t>
            </w:r>
          </w:p>
        </w:tc>
      </w:tr>
    </w:tbl>
    <w:p w:rsidR="00162B7F" w:rsidP="00162B7F"/>
    <w:p w:rsidR="00826DFA" w:rsidP="00162B7F"/>
    <w:p w:rsidR="00162B7F" w:rsidRPr="00ED4FF1" w:rsidP="00162B7F">
      <w:pPr>
        <w:pStyle w:val="Heading2"/>
      </w:pPr>
      <w:r>
        <w:t>Background</w:t>
      </w:r>
    </w:p>
    <w:p w:rsidR="00162B7F" w:rsidP="00162B7F">
      <w:pPr>
        <w:numPr>
          <w:ilvl w:val="0"/>
          <w:numId w:val="8"/>
        </w:numPr>
        <w:jc w:val="both"/>
        <w:rPr>
          <w:rFonts w:cstheme="minorHAnsi"/>
          <w:bCs/>
          <w:i/>
        </w:rPr>
      </w:pPr>
      <w:r w:rsidRPr="00D4431F">
        <w:rPr>
          <w:rFonts w:cstheme="minorHAnsi"/>
          <w:bCs/>
        </w:rPr>
        <w:t>The</w:t>
      </w:r>
      <w:r>
        <w:rPr>
          <w:rFonts w:cstheme="minorHAnsi"/>
          <w:bCs/>
        </w:rPr>
        <w:t xml:space="preserve"> capital budget for 2021/22 was set at £15.814m in February 2021.  It was increased following approval of the outturn in 2020/21 to £21.380m.  In the first monitoring report for the year 2021/22, approved at Cabinet in September 2021, the budget was increa</w:t>
      </w:r>
      <w:r>
        <w:rPr>
          <w:rFonts w:cstheme="minorHAnsi"/>
          <w:bCs/>
        </w:rPr>
        <w:t>sed to £22.081m.  In the last monitoring report, which covered the period to the end of quarter 2 and was approved at Cabinet in November 2021, the budget was reduced to £16.159m.</w:t>
      </w:r>
    </w:p>
    <w:p w:rsidR="00162B7F" w:rsidP="00162B7F"/>
    <w:p w:rsidR="00826DFA" w:rsidP="00162B7F"/>
    <w:p w:rsidR="00162B7F" w:rsidRPr="00052DF7" w:rsidP="00052DF7">
      <w:pPr>
        <w:pStyle w:val="Heading1"/>
      </w:pPr>
      <w:r w:rsidRPr="00052DF7">
        <w:t>Section A: Capital Programme</w:t>
      </w:r>
    </w:p>
    <w:p w:rsidR="00162B7F" w:rsidRPr="00ED4FF1" w:rsidP="00162B7F">
      <w:pPr>
        <w:pStyle w:val="Heading2"/>
      </w:pPr>
      <w:r>
        <w:t>Key Issues</w:t>
      </w:r>
    </w:p>
    <w:p w:rsidR="00162B7F" w:rsidP="00162B7F">
      <w:pPr>
        <w:numPr>
          <w:ilvl w:val="0"/>
          <w:numId w:val="8"/>
        </w:numPr>
        <w:jc w:val="both"/>
        <w:rPr>
          <w:rFonts w:cstheme="minorHAnsi"/>
          <w:bCs/>
          <w:iCs/>
        </w:rPr>
      </w:pPr>
      <w:r w:rsidRPr="00624783">
        <w:rPr>
          <w:rFonts w:cstheme="minorHAnsi"/>
          <w:bCs/>
          <w:iCs/>
        </w:rPr>
        <w:t>The total cost of the Council’s ca</w:t>
      </w:r>
      <w:r w:rsidRPr="00624783">
        <w:rPr>
          <w:rFonts w:cstheme="minorHAnsi"/>
          <w:bCs/>
          <w:iCs/>
        </w:rPr>
        <w:t>pital investment progr</w:t>
      </w:r>
      <w:r w:rsidRPr="003B37EE">
        <w:rPr>
          <w:rFonts w:cstheme="minorHAnsi"/>
          <w:bCs/>
          <w:iCs/>
        </w:rPr>
        <w:t>amme for 2021/22 has decreased from £16.159m, as approved by Cabinet in the last monitoring report, to £13.325m at 31st January 2022; this includes the variations approved since the last</w:t>
      </w:r>
      <w:r>
        <w:rPr>
          <w:rFonts w:cstheme="minorHAnsi"/>
          <w:bCs/>
          <w:iCs/>
        </w:rPr>
        <w:t xml:space="preserve"> report, along with those</w:t>
      </w:r>
      <w:r w:rsidRPr="00ED0A43">
        <w:rPr>
          <w:rFonts w:cstheme="minorHAnsi"/>
          <w:bCs/>
          <w:iCs/>
        </w:rPr>
        <w:t xml:space="preserve"> </w:t>
      </w:r>
      <w:r>
        <w:rPr>
          <w:rFonts w:cstheme="minorHAnsi"/>
          <w:bCs/>
          <w:iCs/>
        </w:rPr>
        <w:t>contained within</w:t>
      </w:r>
      <w:r w:rsidRPr="00ED0A43">
        <w:rPr>
          <w:rFonts w:cstheme="minorHAnsi"/>
          <w:bCs/>
          <w:iCs/>
        </w:rPr>
        <w:t xml:space="preserve"> in this report</w:t>
      </w:r>
      <w:r>
        <w:rPr>
          <w:rFonts w:cstheme="minorHAnsi"/>
          <w:bCs/>
          <w:iCs/>
        </w:rPr>
        <w:t xml:space="preserve"> itself</w:t>
      </w:r>
      <w:r w:rsidRPr="00ED0A43">
        <w:rPr>
          <w:rFonts w:cstheme="minorHAnsi"/>
          <w:bCs/>
          <w:iCs/>
        </w:rPr>
        <w:t>. A summary of the total costs of the programme</w:t>
      </w:r>
      <w:r>
        <w:rPr>
          <w:rFonts w:cstheme="minorHAnsi"/>
          <w:bCs/>
          <w:iCs/>
        </w:rPr>
        <w:t>,</w:t>
      </w:r>
      <w:r w:rsidRPr="00ED0A43">
        <w:rPr>
          <w:rFonts w:cstheme="minorHAnsi"/>
          <w:bCs/>
          <w:iCs/>
        </w:rPr>
        <w:t xml:space="preserve"> and the funding of this</w:t>
      </w:r>
      <w:r>
        <w:rPr>
          <w:rFonts w:cstheme="minorHAnsi"/>
          <w:bCs/>
          <w:iCs/>
        </w:rPr>
        <w:t>,</w:t>
      </w:r>
      <w:r w:rsidRPr="00ED0A43">
        <w:rPr>
          <w:rFonts w:cstheme="minorHAnsi"/>
          <w:bCs/>
          <w:iCs/>
        </w:rPr>
        <w:t xml:space="preserve"> is detailed at </w:t>
      </w:r>
      <w:r w:rsidRPr="00C25EDA">
        <w:rPr>
          <w:rFonts w:cstheme="minorHAnsi"/>
          <w:b/>
          <w:bCs/>
          <w:iCs/>
        </w:rPr>
        <w:t>Appendix A</w:t>
      </w:r>
      <w:r w:rsidRPr="00ED0A43">
        <w:rPr>
          <w:rFonts w:cstheme="minorHAnsi"/>
          <w:bCs/>
          <w:iCs/>
        </w:rPr>
        <w:t>.</w:t>
      </w:r>
    </w:p>
    <w:p w:rsidR="00162B7F" w:rsidP="00162B7F">
      <w:pPr>
        <w:ind w:left="360"/>
        <w:jc w:val="both"/>
        <w:rPr>
          <w:rFonts w:cstheme="minorHAnsi"/>
          <w:bCs/>
          <w:iCs/>
        </w:rPr>
      </w:pPr>
    </w:p>
    <w:p w:rsidR="00162B7F" w:rsidRPr="003B37EE" w:rsidP="00162B7F">
      <w:pPr>
        <w:numPr>
          <w:ilvl w:val="0"/>
          <w:numId w:val="8"/>
        </w:numPr>
        <w:jc w:val="both"/>
        <w:rPr>
          <w:rFonts w:cstheme="minorHAnsi"/>
          <w:bCs/>
          <w:iCs/>
        </w:rPr>
      </w:pPr>
      <w:r w:rsidRPr="003B37EE">
        <w:rPr>
          <w:rFonts w:cstheme="minorHAnsi"/>
          <w:bCs/>
          <w:iCs/>
        </w:rPr>
        <w:t>The net variation of £2.933m is detailed by scheme</w:t>
      </w:r>
      <w:r>
        <w:rPr>
          <w:rFonts w:cstheme="minorHAnsi"/>
          <w:bCs/>
          <w:iCs/>
        </w:rPr>
        <w:t xml:space="preserve"> </w:t>
      </w:r>
      <w:r w:rsidRPr="00ED0A43">
        <w:rPr>
          <w:rFonts w:cstheme="minorHAnsi"/>
          <w:bCs/>
          <w:iCs/>
        </w:rPr>
        <w:t xml:space="preserve">in </w:t>
      </w:r>
      <w:r w:rsidRPr="00C25EDA">
        <w:rPr>
          <w:rFonts w:cstheme="minorHAnsi"/>
          <w:b/>
          <w:bCs/>
          <w:iCs/>
        </w:rPr>
        <w:t>Appendix B</w:t>
      </w:r>
      <w:r>
        <w:rPr>
          <w:rFonts w:cstheme="minorHAnsi"/>
          <w:bCs/>
          <w:iCs/>
        </w:rPr>
        <w:t xml:space="preserve">.  The net variation includes those variations approved since the previous monitoring report and variations in respect of the reprofiling of budgets </w:t>
      </w:r>
      <w:r w:rsidRPr="003B37EE">
        <w:rPr>
          <w:rFonts w:cstheme="minorHAnsi"/>
          <w:bCs/>
          <w:iCs/>
        </w:rPr>
        <w:t>within the existing programme.</w:t>
      </w:r>
    </w:p>
    <w:p w:rsidR="00162B7F" w:rsidRPr="003B37EE" w:rsidP="00162B7F">
      <w:pPr>
        <w:ind w:left="360"/>
        <w:jc w:val="both"/>
        <w:rPr>
          <w:rFonts w:cstheme="minorHAnsi"/>
          <w:bCs/>
          <w:iCs/>
        </w:rPr>
      </w:pPr>
    </w:p>
    <w:p w:rsidR="00162B7F" w:rsidRPr="003B37EE" w:rsidP="00162B7F">
      <w:pPr>
        <w:numPr>
          <w:ilvl w:val="0"/>
          <w:numId w:val="8"/>
        </w:numPr>
        <w:jc w:val="both"/>
        <w:rPr>
          <w:rFonts w:cstheme="minorHAnsi"/>
          <w:bCs/>
          <w:iCs/>
        </w:rPr>
      </w:pPr>
      <w:r w:rsidRPr="003B37EE">
        <w:rPr>
          <w:rFonts w:cstheme="minorHAnsi"/>
          <w:bCs/>
          <w:iCs/>
        </w:rPr>
        <w:t>Budget variations approved since the previous monitoring report are shown i</w:t>
      </w:r>
      <w:r w:rsidRPr="003B37EE">
        <w:rPr>
          <w:rFonts w:cstheme="minorHAnsi"/>
          <w:bCs/>
          <w:iCs/>
        </w:rPr>
        <w:t>n the table below and have resulted in a decrease of £0.</w:t>
      </w:r>
      <w:r>
        <w:rPr>
          <w:rFonts w:cstheme="minorHAnsi"/>
          <w:bCs/>
          <w:iCs/>
        </w:rPr>
        <w:t>485m</w:t>
      </w:r>
      <w:r w:rsidRPr="003B37EE">
        <w:rPr>
          <w:rFonts w:cstheme="minorHAnsi"/>
          <w:bCs/>
          <w:iCs/>
        </w:rPr>
        <w:t xml:space="preserve"> in the 2021/22 budget and an increase of £40.</w:t>
      </w:r>
      <w:r>
        <w:rPr>
          <w:rFonts w:cstheme="minorHAnsi"/>
          <w:bCs/>
          <w:iCs/>
        </w:rPr>
        <w:t>640</w:t>
      </w:r>
      <w:r w:rsidRPr="003B37EE">
        <w:rPr>
          <w:rFonts w:cstheme="minorHAnsi"/>
          <w:bCs/>
          <w:iCs/>
        </w:rPr>
        <w:t>m in the budget for 2022/23.</w:t>
      </w:r>
    </w:p>
    <w:p w:rsidR="00162B7F" w:rsidP="00162B7F">
      <w:pPr>
        <w:ind w:left="360"/>
        <w:jc w:val="both"/>
        <w:rPr>
          <w:rFonts w:cstheme="minorHAnsi"/>
          <w:bCs/>
          <w:iCs/>
        </w:rPr>
      </w:pPr>
    </w:p>
    <w:p w:rsidR="00162B7F" w:rsidP="00162B7F">
      <w:pPr>
        <w:jc w:val="both"/>
        <w:rPr>
          <w:rFonts w:cstheme="minorHAnsi"/>
          <w:bCs/>
          <w:iCs/>
        </w:rPr>
      </w:pPr>
    </w:p>
    <w:p w:rsidR="00162B7F">
      <w:pPr>
        <w:rPr>
          <w:rFonts w:cstheme="minorHAnsi"/>
          <w:bCs/>
          <w:iCs/>
        </w:rPr>
      </w:pPr>
      <w:r>
        <w:rPr>
          <w:rFonts w:cstheme="minorHAnsi"/>
          <w:bCs/>
          <w:iCs/>
        </w:rPr>
        <w:br w:type="page"/>
      </w:r>
    </w:p>
    <w:tbl>
      <w:tblPr>
        <w:tblW w:w="9423" w:type="dxa"/>
        <w:tblLook w:val="04A0"/>
      </w:tblPr>
      <w:tblGrid>
        <w:gridCol w:w="3760"/>
        <w:gridCol w:w="1440"/>
        <w:gridCol w:w="1440"/>
        <w:gridCol w:w="1540"/>
        <w:gridCol w:w="1243"/>
      </w:tblGrid>
      <w:tr w:rsidTr="009B1202">
        <w:tblPrEx>
          <w:tblW w:w="9423" w:type="dxa"/>
          <w:tblLook w:val="04A0"/>
        </w:tblPrEx>
        <w:trPr>
          <w:trHeight w:val="1200"/>
        </w:trPr>
        <w:tc>
          <w:tcPr>
            <w:tcW w:w="376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B13F3B" w:rsidRPr="00B13F3B" w:rsidP="00B13F3B">
            <w:pPr>
              <w:rPr>
                <w:rFonts w:ascii="Arial" w:eastAsia="Times New Roman" w:hAnsi="Arial" w:cs="Arial"/>
                <w:b/>
                <w:bCs/>
                <w:color w:val="000000"/>
                <w:lang w:eastAsia="en-GB"/>
              </w:rPr>
            </w:pPr>
            <w:bookmarkStart w:id="2" w:name="RANGE!B3"/>
            <w:r w:rsidRPr="00B13F3B">
              <w:rPr>
                <w:rFonts w:ascii="Arial" w:eastAsia="Times New Roman" w:hAnsi="Arial" w:cs="Arial"/>
                <w:b/>
                <w:bCs/>
                <w:color w:val="000000"/>
                <w:lang w:eastAsia="en-GB"/>
              </w:rPr>
              <w:t>Scheme</w:t>
            </w:r>
            <w:bookmarkEnd w:id="2"/>
          </w:p>
        </w:tc>
        <w:tc>
          <w:tcPr>
            <w:tcW w:w="1440" w:type="dxa"/>
            <w:tcBorders>
              <w:top w:val="single" w:sz="4" w:space="0" w:color="auto"/>
              <w:left w:val="nil"/>
              <w:bottom w:val="single" w:sz="4" w:space="0" w:color="BFBFBF"/>
              <w:right w:val="single" w:sz="4" w:space="0" w:color="auto"/>
            </w:tcBorders>
            <w:shd w:val="clear" w:color="000000" w:fill="BFBFBF"/>
            <w:vAlign w:val="center"/>
            <w:hideMark/>
          </w:tcPr>
          <w:p w:rsidR="00B13F3B" w:rsidRPr="00B13F3B" w:rsidP="00B13F3B">
            <w:pPr>
              <w:jc w:val="center"/>
              <w:rPr>
                <w:rFonts w:ascii="Arial" w:eastAsia="Times New Roman" w:hAnsi="Arial" w:cs="Arial"/>
                <w:b/>
                <w:bCs/>
                <w:color w:val="000000"/>
                <w:lang w:eastAsia="en-GB"/>
              </w:rPr>
            </w:pPr>
            <w:r w:rsidRPr="00B13F3B">
              <w:rPr>
                <w:rFonts w:ascii="Arial" w:eastAsia="Times New Roman" w:hAnsi="Arial" w:cs="Arial"/>
                <w:b/>
                <w:bCs/>
                <w:color w:val="000000"/>
                <w:lang w:eastAsia="en-GB"/>
              </w:rPr>
              <w:t>Increase / (Reduction) 2021/22</w:t>
            </w:r>
          </w:p>
        </w:tc>
        <w:tc>
          <w:tcPr>
            <w:tcW w:w="1440" w:type="dxa"/>
            <w:tcBorders>
              <w:top w:val="single" w:sz="4" w:space="0" w:color="auto"/>
              <w:left w:val="nil"/>
              <w:bottom w:val="single" w:sz="4" w:space="0" w:color="BFBFBF"/>
              <w:right w:val="single" w:sz="4" w:space="0" w:color="auto"/>
            </w:tcBorders>
            <w:shd w:val="clear" w:color="000000" w:fill="BFBFBF"/>
            <w:vAlign w:val="center"/>
            <w:hideMark/>
          </w:tcPr>
          <w:p w:rsidR="00B13F3B" w:rsidRPr="00B13F3B" w:rsidP="00B13F3B">
            <w:pPr>
              <w:jc w:val="center"/>
              <w:rPr>
                <w:rFonts w:ascii="Arial" w:eastAsia="Times New Roman" w:hAnsi="Arial" w:cs="Arial"/>
                <w:b/>
                <w:bCs/>
                <w:color w:val="000000"/>
                <w:lang w:eastAsia="en-GB"/>
              </w:rPr>
            </w:pPr>
            <w:r w:rsidRPr="00B13F3B">
              <w:rPr>
                <w:rFonts w:ascii="Arial" w:eastAsia="Times New Roman" w:hAnsi="Arial" w:cs="Arial"/>
                <w:b/>
                <w:bCs/>
                <w:color w:val="000000"/>
                <w:lang w:eastAsia="en-GB"/>
              </w:rPr>
              <w:t>Increase / (Reduction) 2022/23 and future years</w:t>
            </w:r>
          </w:p>
        </w:tc>
        <w:tc>
          <w:tcPr>
            <w:tcW w:w="154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B13F3B" w:rsidRPr="00B13F3B" w:rsidP="00B13F3B">
            <w:pPr>
              <w:jc w:val="center"/>
              <w:rPr>
                <w:rFonts w:ascii="Arial" w:eastAsia="Times New Roman" w:hAnsi="Arial" w:cs="Arial"/>
                <w:b/>
                <w:bCs/>
                <w:color w:val="000000"/>
                <w:lang w:eastAsia="en-GB"/>
              </w:rPr>
            </w:pPr>
            <w:r w:rsidRPr="00B13F3B">
              <w:rPr>
                <w:rFonts w:ascii="Arial" w:eastAsia="Times New Roman" w:hAnsi="Arial" w:cs="Arial"/>
                <w:b/>
                <w:bCs/>
                <w:color w:val="000000"/>
                <w:lang w:eastAsia="en-GB"/>
              </w:rPr>
              <w:t>Approved by</w:t>
            </w:r>
          </w:p>
        </w:tc>
        <w:tc>
          <w:tcPr>
            <w:tcW w:w="1243"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B13F3B" w:rsidRPr="00B13F3B" w:rsidP="00B13F3B">
            <w:pPr>
              <w:jc w:val="center"/>
              <w:rPr>
                <w:rFonts w:ascii="Arial" w:eastAsia="Times New Roman" w:hAnsi="Arial" w:cs="Arial"/>
                <w:b/>
                <w:bCs/>
                <w:color w:val="000000"/>
                <w:lang w:eastAsia="en-GB"/>
              </w:rPr>
            </w:pPr>
            <w:r w:rsidRPr="00B13F3B">
              <w:rPr>
                <w:rFonts w:ascii="Arial" w:eastAsia="Times New Roman" w:hAnsi="Arial" w:cs="Arial"/>
                <w:b/>
                <w:bCs/>
                <w:color w:val="000000"/>
                <w:lang w:eastAsia="en-GB"/>
              </w:rPr>
              <w:t>Date Approved</w:t>
            </w:r>
          </w:p>
        </w:tc>
      </w:tr>
      <w:tr w:rsidTr="009B1202">
        <w:tblPrEx>
          <w:tblW w:w="9423" w:type="dxa"/>
          <w:tblLook w:val="04A0"/>
        </w:tblPrEx>
        <w:trPr>
          <w:trHeight w:val="300"/>
        </w:trPr>
        <w:tc>
          <w:tcPr>
            <w:tcW w:w="3760" w:type="dxa"/>
            <w:vMerge/>
            <w:tcBorders>
              <w:top w:val="single" w:sz="4" w:space="0" w:color="auto"/>
              <w:left w:val="single" w:sz="4" w:space="0" w:color="auto"/>
              <w:bottom w:val="single" w:sz="4" w:space="0" w:color="000000"/>
              <w:right w:val="single" w:sz="4" w:space="0" w:color="auto"/>
            </w:tcBorders>
            <w:vAlign w:val="center"/>
            <w:hideMark/>
          </w:tcPr>
          <w:p w:rsidR="00B13F3B" w:rsidRPr="00B13F3B" w:rsidP="00B13F3B">
            <w:pPr>
              <w:rPr>
                <w:rFonts w:ascii="Arial" w:eastAsia="Times New Roman" w:hAnsi="Arial" w:cs="Arial"/>
                <w:b/>
                <w:bCs/>
                <w:color w:val="000000"/>
                <w:lang w:eastAsia="en-GB"/>
              </w:rPr>
            </w:pPr>
          </w:p>
        </w:tc>
        <w:tc>
          <w:tcPr>
            <w:tcW w:w="1440" w:type="dxa"/>
            <w:tcBorders>
              <w:top w:val="nil"/>
              <w:left w:val="nil"/>
              <w:bottom w:val="single" w:sz="4" w:space="0" w:color="auto"/>
              <w:right w:val="single" w:sz="4" w:space="0" w:color="auto"/>
            </w:tcBorders>
            <w:shd w:val="clear" w:color="000000" w:fill="BFBFBF"/>
            <w:vAlign w:val="center"/>
            <w:hideMark/>
          </w:tcPr>
          <w:p w:rsidR="00B13F3B" w:rsidRPr="00B12E80" w:rsidP="00B13F3B">
            <w:pPr>
              <w:jc w:val="center"/>
              <w:rPr>
                <w:rFonts w:ascii="Arial" w:eastAsia="Times New Roman" w:hAnsi="Arial" w:cs="Arial"/>
                <w:b/>
                <w:bCs/>
                <w:color w:val="000000"/>
                <w:lang w:eastAsia="en-GB"/>
              </w:rPr>
            </w:pPr>
            <w:r w:rsidRPr="00B12E80">
              <w:rPr>
                <w:rFonts w:ascii="Arial" w:eastAsia="Times New Roman" w:hAnsi="Arial" w:cs="Arial"/>
                <w:b/>
                <w:bCs/>
                <w:color w:val="000000"/>
                <w:lang w:eastAsia="en-GB"/>
              </w:rPr>
              <w:t>£’000</w:t>
            </w:r>
          </w:p>
        </w:tc>
        <w:tc>
          <w:tcPr>
            <w:tcW w:w="1440" w:type="dxa"/>
            <w:tcBorders>
              <w:top w:val="nil"/>
              <w:left w:val="nil"/>
              <w:bottom w:val="single" w:sz="4" w:space="0" w:color="auto"/>
              <w:right w:val="single" w:sz="4" w:space="0" w:color="auto"/>
            </w:tcBorders>
            <w:shd w:val="clear" w:color="000000" w:fill="BFBFBF"/>
            <w:vAlign w:val="center"/>
            <w:hideMark/>
          </w:tcPr>
          <w:p w:rsidR="00B13F3B" w:rsidRPr="00B13F3B" w:rsidP="00B13F3B">
            <w:pPr>
              <w:jc w:val="center"/>
              <w:rPr>
                <w:rFonts w:ascii="Arial" w:eastAsia="Times New Roman" w:hAnsi="Arial" w:cs="Arial"/>
                <w:b/>
                <w:bCs/>
                <w:color w:val="000000"/>
                <w:lang w:eastAsia="en-GB"/>
              </w:rPr>
            </w:pPr>
            <w:r w:rsidRPr="00B13F3B">
              <w:rPr>
                <w:rFonts w:ascii="Arial" w:eastAsia="Times New Roman" w:hAnsi="Arial" w:cs="Arial"/>
                <w:b/>
                <w:bCs/>
                <w:color w:val="000000"/>
                <w:lang w:eastAsia="en-GB"/>
              </w:rPr>
              <w:t>£’000</w:t>
            </w:r>
          </w:p>
        </w:tc>
        <w:tc>
          <w:tcPr>
            <w:tcW w:w="1540" w:type="dxa"/>
            <w:vMerge/>
            <w:tcBorders>
              <w:top w:val="single" w:sz="4" w:space="0" w:color="auto"/>
              <w:left w:val="single" w:sz="4" w:space="0" w:color="auto"/>
              <w:bottom w:val="single" w:sz="4" w:space="0" w:color="000000"/>
              <w:right w:val="single" w:sz="4" w:space="0" w:color="auto"/>
            </w:tcBorders>
            <w:vAlign w:val="center"/>
            <w:hideMark/>
          </w:tcPr>
          <w:p w:rsidR="00B13F3B" w:rsidRPr="00B13F3B" w:rsidP="00B13F3B">
            <w:pPr>
              <w:rPr>
                <w:rFonts w:ascii="Arial" w:eastAsia="Times New Roman" w:hAnsi="Arial" w:cs="Arial"/>
                <w:b/>
                <w:bCs/>
                <w:color w:val="000000"/>
                <w:lang w:eastAsia="en-GB"/>
              </w:rPr>
            </w:pPr>
          </w:p>
        </w:tc>
        <w:tc>
          <w:tcPr>
            <w:tcW w:w="1243" w:type="dxa"/>
            <w:vMerge/>
            <w:tcBorders>
              <w:top w:val="single" w:sz="4" w:space="0" w:color="auto"/>
              <w:left w:val="single" w:sz="4" w:space="0" w:color="auto"/>
              <w:bottom w:val="single" w:sz="4" w:space="0" w:color="000000"/>
              <w:right w:val="single" w:sz="4" w:space="0" w:color="auto"/>
            </w:tcBorders>
            <w:vAlign w:val="center"/>
            <w:hideMark/>
          </w:tcPr>
          <w:p w:rsidR="00B13F3B" w:rsidRPr="00B13F3B" w:rsidP="00B13F3B">
            <w:pPr>
              <w:rPr>
                <w:rFonts w:ascii="Arial" w:eastAsia="Times New Roman" w:hAnsi="Arial" w:cs="Arial"/>
                <w:b/>
                <w:bCs/>
                <w:color w:val="000000"/>
                <w:lang w:eastAsia="en-GB"/>
              </w:rPr>
            </w:pPr>
          </w:p>
        </w:tc>
      </w:tr>
      <w:tr w:rsidTr="009B1202">
        <w:tblPrEx>
          <w:tblW w:w="9423" w:type="dxa"/>
          <w:tblLook w:val="04A0"/>
        </w:tblPrEx>
        <w:trPr>
          <w:trHeight w:val="300"/>
        </w:trPr>
        <w:tc>
          <w:tcPr>
            <w:tcW w:w="5200" w:type="dxa"/>
            <w:gridSpan w:val="2"/>
            <w:tcBorders>
              <w:top w:val="nil"/>
              <w:left w:val="single" w:sz="4" w:space="0" w:color="auto"/>
              <w:bottom w:val="nil"/>
              <w:right w:val="nil"/>
            </w:tcBorders>
            <w:shd w:val="clear" w:color="auto" w:fill="auto"/>
            <w:noWrap/>
            <w:vAlign w:val="center"/>
            <w:hideMark/>
          </w:tcPr>
          <w:p w:rsidR="00B13F3B" w:rsidRPr="00B12E80" w:rsidP="00B13F3B">
            <w:pPr>
              <w:rPr>
                <w:rFonts w:ascii="Arial" w:eastAsia="Times New Roman" w:hAnsi="Arial" w:cs="Arial"/>
                <w:b/>
                <w:bCs/>
                <w:color w:val="0070C0"/>
                <w:lang w:eastAsia="en-GB"/>
              </w:rPr>
            </w:pPr>
            <w:r w:rsidRPr="00B12E80">
              <w:rPr>
                <w:rFonts w:ascii="Arial" w:eastAsia="Times New Roman" w:hAnsi="Arial" w:cs="Arial"/>
                <w:b/>
                <w:bCs/>
                <w:color w:val="0070C0"/>
                <w:lang w:eastAsia="en-GB"/>
              </w:rPr>
              <w:t>Good homes, green spaces and healthy places</w:t>
            </w:r>
          </w:p>
        </w:tc>
        <w:tc>
          <w:tcPr>
            <w:tcW w:w="1440" w:type="dxa"/>
            <w:tcBorders>
              <w:top w:val="nil"/>
              <w:left w:val="nil"/>
              <w:bottom w:val="nil"/>
              <w:right w:val="nil"/>
            </w:tcBorders>
            <w:shd w:val="clear" w:color="auto" w:fill="auto"/>
            <w:noWrap/>
            <w:vAlign w:val="center"/>
            <w:hideMark/>
          </w:tcPr>
          <w:p w:rsidR="00B13F3B" w:rsidRPr="00A33A47" w:rsidP="00B13F3B">
            <w:pPr>
              <w:rPr>
                <w:rFonts w:ascii="Arial" w:eastAsia="Times New Roman" w:hAnsi="Arial" w:cs="Arial"/>
                <w:b/>
                <w:bCs/>
                <w:color w:val="0070C0"/>
                <w:lang w:eastAsia="en-GB"/>
              </w:rPr>
            </w:pPr>
          </w:p>
        </w:tc>
        <w:tc>
          <w:tcPr>
            <w:tcW w:w="1540" w:type="dxa"/>
            <w:tcBorders>
              <w:top w:val="nil"/>
              <w:left w:val="nil"/>
              <w:bottom w:val="nil"/>
              <w:right w:val="nil"/>
            </w:tcBorders>
            <w:shd w:val="clear" w:color="auto" w:fill="auto"/>
            <w:noWrap/>
            <w:vAlign w:val="center"/>
            <w:hideMark/>
          </w:tcPr>
          <w:p w:rsidR="00B13F3B" w:rsidRPr="00B13F3B" w:rsidP="00B13F3B">
            <w:pPr>
              <w:rPr>
                <w:rFonts w:ascii="Times New Roman" w:eastAsia="Times New Roman" w:hAnsi="Times New Roman" w:cs="Times New Roman"/>
                <w:sz w:val="20"/>
                <w:szCs w:val="20"/>
                <w:lang w:eastAsia="en-GB"/>
              </w:rPr>
            </w:pPr>
          </w:p>
        </w:tc>
        <w:tc>
          <w:tcPr>
            <w:tcW w:w="1243" w:type="dxa"/>
            <w:tcBorders>
              <w:top w:val="nil"/>
              <w:left w:val="nil"/>
              <w:bottom w:val="nil"/>
              <w:right w:val="single" w:sz="4" w:space="0" w:color="auto"/>
            </w:tcBorders>
            <w:shd w:val="clear" w:color="auto" w:fill="auto"/>
            <w:noWrap/>
            <w:vAlign w:val="center"/>
            <w:hideMark/>
          </w:tcPr>
          <w:p w:rsidR="00B13F3B" w:rsidRPr="00B13F3B" w:rsidP="00B13F3B">
            <w:pPr>
              <w:rPr>
                <w:rFonts w:ascii="Arial" w:eastAsia="Times New Roman" w:hAnsi="Arial" w:cs="Arial"/>
                <w:color w:val="000000"/>
                <w:lang w:eastAsia="en-GB"/>
              </w:rPr>
            </w:pPr>
            <w:r w:rsidRPr="00B13F3B">
              <w:rPr>
                <w:rFonts w:ascii="Arial" w:eastAsia="Times New Roman" w:hAnsi="Arial" w:cs="Arial"/>
                <w:color w:val="000000"/>
                <w:lang w:eastAsia="en-GB"/>
              </w:rPr>
              <w:t> </w:t>
            </w:r>
          </w:p>
        </w:tc>
      </w:tr>
      <w:tr w:rsidTr="009B1202">
        <w:tblPrEx>
          <w:tblW w:w="9423" w:type="dxa"/>
          <w:tblLook w:val="04A0"/>
        </w:tblPrEx>
        <w:trPr>
          <w:trHeight w:val="300"/>
        </w:trPr>
        <w:tc>
          <w:tcPr>
            <w:tcW w:w="3760" w:type="dxa"/>
            <w:tcBorders>
              <w:top w:val="nil"/>
              <w:left w:val="single" w:sz="4" w:space="0" w:color="auto"/>
              <w:bottom w:val="nil"/>
              <w:right w:val="nil"/>
            </w:tcBorders>
            <w:shd w:val="clear" w:color="auto" w:fill="auto"/>
            <w:noWrap/>
            <w:vAlign w:val="center"/>
            <w:hideMark/>
          </w:tcPr>
          <w:p w:rsidR="00B13F3B" w:rsidRPr="00B13F3B" w:rsidP="00B13F3B">
            <w:pPr>
              <w:rPr>
                <w:rFonts w:ascii="Arial" w:eastAsia="Times New Roman" w:hAnsi="Arial" w:cs="Arial"/>
                <w:b/>
                <w:bCs/>
                <w:lang w:eastAsia="en-GB"/>
              </w:rPr>
            </w:pPr>
            <w:r w:rsidRPr="00B13F3B">
              <w:rPr>
                <w:rFonts w:ascii="Arial" w:eastAsia="Times New Roman" w:hAnsi="Arial" w:cs="Arial"/>
                <w:b/>
                <w:bCs/>
                <w:lang w:eastAsia="en-GB"/>
              </w:rPr>
              <w:t>Green Infrastructure</w:t>
            </w:r>
          </w:p>
        </w:tc>
        <w:tc>
          <w:tcPr>
            <w:tcW w:w="1440" w:type="dxa"/>
            <w:tcBorders>
              <w:top w:val="nil"/>
              <w:left w:val="nil"/>
              <w:bottom w:val="nil"/>
              <w:right w:val="nil"/>
            </w:tcBorders>
            <w:shd w:val="clear" w:color="auto" w:fill="auto"/>
            <w:noWrap/>
            <w:vAlign w:val="center"/>
            <w:hideMark/>
          </w:tcPr>
          <w:p w:rsidR="00B13F3B" w:rsidRPr="00B12E80" w:rsidP="00B13F3B">
            <w:pPr>
              <w:rPr>
                <w:rFonts w:ascii="Arial" w:eastAsia="Times New Roman" w:hAnsi="Arial" w:cs="Arial"/>
                <w:b/>
                <w:bCs/>
                <w:lang w:eastAsia="en-GB"/>
              </w:rPr>
            </w:pPr>
          </w:p>
        </w:tc>
        <w:tc>
          <w:tcPr>
            <w:tcW w:w="1440" w:type="dxa"/>
            <w:tcBorders>
              <w:top w:val="nil"/>
              <w:left w:val="nil"/>
              <w:bottom w:val="nil"/>
              <w:right w:val="nil"/>
            </w:tcBorders>
            <w:shd w:val="clear" w:color="auto" w:fill="auto"/>
            <w:noWrap/>
            <w:vAlign w:val="center"/>
            <w:hideMark/>
          </w:tcPr>
          <w:p w:rsidR="00B13F3B" w:rsidRPr="00A33A47" w:rsidP="00B13F3B">
            <w:pPr>
              <w:rPr>
                <w:rFonts w:ascii="Times New Roman" w:eastAsia="Times New Roman" w:hAnsi="Times New Roman" w:cs="Times New Roman"/>
                <w:sz w:val="20"/>
                <w:szCs w:val="20"/>
                <w:lang w:eastAsia="en-GB"/>
              </w:rPr>
            </w:pPr>
          </w:p>
        </w:tc>
        <w:tc>
          <w:tcPr>
            <w:tcW w:w="1540" w:type="dxa"/>
            <w:tcBorders>
              <w:top w:val="nil"/>
              <w:left w:val="nil"/>
              <w:bottom w:val="nil"/>
              <w:right w:val="nil"/>
            </w:tcBorders>
            <w:shd w:val="clear" w:color="auto" w:fill="auto"/>
            <w:noWrap/>
            <w:vAlign w:val="center"/>
            <w:hideMark/>
          </w:tcPr>
          <w:p w:rsidR="00B13F3B" w:rsidRPr="00B13F3B" w:rsidP="00B13F3B">
            <w:pPr>
              <w:rPr>
                <w:rFonts w:ascii="Times New Roman" w:eastAsia="Times New Roman" w:hAnsi="Times New Roman" w:cs="Times New Roman"/>
                <w:sz w:val="20"/>
                <w:szCs w:val="20"/>
                <w:lang w:eastAsia="en-GB"/>
              </w:rPr>
            </w:pPr>
          </w:p>
        </w:tc>
        <w:tc>
          <w:tcPr>
            <w:tcW w:w="1243" w:type="dxa"/>
            <w:tcBorders>
              <w:top w:val="nil"/>
              <w:left w:val="nil"/>
              <w:bottom w:val="nil"/>
              <w:right w:val="single" w:sz="4" w:space="0" w:color="auto"/>
            </w:tcBorders>
            <w:shd w:val="clear" w:color="auto" w:fill="auto"/>
            <w:noWrap/>
            <w:vAlign w:val="center"/>
            <w:hideMark/>
          </w:tcPr>
          <w:p w:rsidR="00B13F3B" w:rsidRPr="00B13F3B" w:rsidP="00B13F3B">
            <w:pPr>
              <w:rPr>
                <w:rFonts w:ascii="Arial" w:eastAsia="Times New Roman" w:hAnsi="Arial" w:cs="Arial"/>
                <w:color w:val="000000"/>
                <w:lang w:eastAsia="en-GB"/>
              </w:rPr>
            </w:pPr>
            <w:r w:rsidRPr="00B13F3B">
              <w:rPr>
                <w:rFonts w:ascii="Arial" w:eastAsia="Times New Roman" w:hAnsi="Arial" w:cs="Arial"/>
                <w:color w:val="000000"/>
                <w:lang w:eastAsia="en-GB"/>
              </w:rPr>
              <w:t> </w:t>
            </w:r>
          </w:p>
        </w:tc>
      </w:tr>
      <w:tr w:rsidTr="009B1202">
        <w:tblPrEx>
          <w:tblW w:w="9423" w:type="dxa"/>
          <w:tblLook w:val="04A0"/>
        </w:tblPrEx>
        <w:trPr>
          <w:trHeight w:val="285"/>
        </w:trPr>
        <w:tc>
          <w:tcPr>
            <w:tcW w:w="3760" w:type="dxa"/>
            <w:tcBorders>
              <w:top w:val="single" w:sz="4" w:space="0" w:color="BFBFBF"/>
              <w:left w:val="single" w:sz="4" w:space="0" w:color="auto"/>
              <w:bottom w:val="single" w:sz="4" w:space="0" w:color="BFBFBF"/>
              <w:right w:val="single" w:sz="4" w:space="0" w:color="BFBFBF"/>
            </w:tcBorders>
            <w:shd w:val="clear" w:color="auto" w:fill="auto"/>
            <w:vAlign w:val="center"/>
            <w:hideMark/>
          </w:tcPr>
          <w:p w:rsidR="00B13F3B" w:rsidRPr="00B13F3B" w:rsidP="00B13F3B">
            <w:pPr>
              <w:rPr>
                <w:rFonts w:ascii="Arial" w:eastAsia="Times New Roman" w:hAnsi="Arial" w:cs="Arial"/>
                <w:color w:val="000000"/>
                <w:lang w:eastAsia="en-GB"/>
              </w:rPr>
            </w:pPr>
            <w:r w:rsidRPr="00B13F3B">
              <w:rPr>
                <w:rFonts w:ascii="Arial" w:eastAsia="Times New Roman" w:hAnsi="Arial" w:cs="Arial"/>
                <w:color w:val="000000"/>
                <w:lang w:eastAsia="en-GB"/>
              </w:rPr>
              <w:t>Electric Vehicle Charging Points</w:t>
            </w:r>
          </w:p>
        </w:tc>
        <w:tc>
          <w:tcPr>
            <w:tcW w:w="1440" w:type="dxa"/>
            <w:tcBorders>
              <w:top w:val="single" w:sz="4" w:space="0" w:color="BFBFBF"/>
              <w:left w:val="nil"/>
              <w:bottom w:val="single" w:sz="4" w:space="0" w:color="BFBFBF"/>
              <w:right w:val="single" w:sz="4" w:space="0" w:color="BFBFBF"/>
            </w:tcBorders>
            <w:shd w:val="clear" w:color="auto" w:fill="auto"/>
            <w:noWrap/>
            <w:vAlign w:val="center"/>
            <w:hideMark/>
          </w:tcPr>
          <w:p w:rsidR="00B13F3B" w:rsidRPr="00B12E80" w:rsidP="00B13F3B">
            <w:pPr>
              <w:jc w:val="right"/>
              <w:rPr>
                <w:rFonts w:ascii="Arial" w:eastAsia="Times New Roman" w:hAnsi="Arial" w:cs="Arial"/>
                <w:color w:val="000000"/>
                <w:lang w:eastAsia="en-GB"/>
              </w:rPr>
            </w:pPr>
            <w:r w:rsidRPr="00B12E80">
              <w:rPr>
                <w:rFonts w:ascii="Arial" w:eastAsia="Times New Roman" w:hAnsi="Arial" w:cs="Arial"/>
                <w:color w:val="000000"/>
                <w:lang w:eastAsia="en-GB"/>
              </w:rPr>
              <w:t xml:space="preserve">106 </w:t>
            </w:r>
          </w:p>
        </w:tc>
        <w:tc>
          <w:tcPr>
            <w:tcW w:w="1440" w:type="dxa"/>
            <w:tcBorders>
              <w:top w:val="single" w:sz="4" w:space="0" w:color="BFBFBF"/>
              <w:left w:val="nil"/>
              <w:bottom w:val="single" w:sz="4" w:space="0" w:color="BFBFBF"/>
              <w:right w:val="single" w:sz="4" w:space="0" w:color="BFBFBF"/>
            </w:tcBorders>
            <w:shd w:val="clear" w:color="auto" w:fill="auto"/>
            <w:noWrap/>
            <w:vAlign w:val="center"/>
            <w:hideMark/>
          </w:tcPr>
          <w:p w:rsidR="00B13F3B" w:rsidRPr="00A33A47" w:rsidP="00B13F3B">
            <w:pPr>
              <w:jc w:val="right"/>
              <w:rPr>
                <w:rFonts w:ascii="Arial" w:eastAsia="Times New Roman" w:hAnsi="Arial" w:cs="Arial"/>
                <w:color w:val="000000"/>
                <w:lang w:eastAsia="en-GB"/>
              </w:rPr>
            </w:pPr>
            <w:r w:rsidRPr="00A33A47">
              <w:rPr>
                <w:rFonts w:ascii="Arial" w:eastAsia="Times New Roman" w:hAnsi="Arial" w:cs="Arial"/>
                <w:color w:val="000000"/>
                <w:lang w:eastAsia="en-GB"/>
              </w:rPr>
              <w:t xml:space="preserve">180 </w:t>
            </w:r>
          </w:p>
        </w:tc>
        <w:tc>
          <w:tcPr>
            <w:tcW w:w="1540" w:type="dxa"/>
            <w:tcBorders>
              <w:top w:val="single" w:sz="4" w:space="0" w:color="BFBFBF"/>
              <w:left w:val="nil"/>
              <w:bottom w:val="single" w:sz="4" w:space="0" w:color="BFBFBF"/>
              <w:right w:val="single" w:sz="4" w:space="0" w:color="BFBFBF"/>
            </w:tcBorders>
            <w:shd w:val="clear" w:color="auto" w:fill="auto"/>
            <w:vAlign w:val="center"/>
            <w:hideMark/>
          </w:tcPr>
          <w:p w:rsidR="00B13F3B" w:rsidRPr="00B13F3B" w:rsidP="00B13F3B">
            <w:pPr>
              <w:jc w:val="center"/>
              <w:rPr>
                <w:rFonts w:ascii="Arial" w:eastAsia="Times New Roman" w:hAnsi="Arial" w:cs="Arial"/>
                <w:color w:val="000000"/>
                <w:lang w:eastAsia="en-GB"/>
              </w:rPr>
            </w:pPr>
            <w:r w:rsidRPr="00B13F3B">
              <w:rPr>
                <w:rFonts w:ascii="Arial" w:eastAsia="Times New Roman" w:hAnsi="Arial" w:cs="Arial"/>
                <w:color w:val="000000"/>
                <w:lang w:eastAsia="en-GB"/>
              </w:rPr>
              <w:t>Council</w:t>
            </w:r>
          </w:p>
        </w:tc>
        <w:tc>
          <w:tcPr>
            <w:tcW w:w="1243" w:type="dxa"/>
            <w:tcBorders>
              <w:top w:val="single" w:sz="4" w:space="0" w:color="BFBFBF"/>
              <w:left w:val="nil"/>
              <w:bottom w:val="single" w:sz="4" w:space="0" w:color="BFBFBF"/>
              <w:right w:val="single" w:sz="4" w:space="0" w:color="auto"/>
            </w:tcBorders>
            <w:shd w:val="clear" w:color="auto" w:fill="auto"/>
            <w:vAlign w:val="center"/>
            <w:hideMark/>
          </w:tcPr>
          <w:p w:rsidR="00B13F3B" w:rsidRPr="00B13F3B" w:rsidP="00B13F3B">
            <w:pPr>
              <w:jc w:val="center"/>
              <w:rPr>
                <w:rFonts w:ascii="Arial" w:eastAsia="Times New Roman" w:hAnsi="Arial" w:cs="Arial"/>
                <w:color w:val="000000"/>
                <w:lang w:eastAsia="en-GB"/>
              </w:rPr>
            </w:pPr>
            <w:r w:rsidRPr="00B13F3B">
              <w:rPr>
                <w:rFonts w:ascii="Arial" w:eastAsia="Times New Roman" w:hAnsi="Arial" w:cs="Arial"/>
                <w:color w:val="000000"/>
                <w:lang w:eastAsia="en-GB"/>
              </w:rPr>
              <w:t>26/01/22</w:t>
            </w:r>
          </w:p>
        </w:tc>
      </w:tr>
      <w:tr w:rsidTr="009B1202">
        <w:tblPrEx>
          <w:tblW w:w="9423" w:type="dxa"/>
          <w:tblLook w:val="04A0"/>
        </w:tblPrEx>
        <w:trPr>
          <w:trHeight w:val="300"/>
        </w:trPr>
        <w:tc>
          <w:tcPr>
            <w:tcW w:w="3760" w:type="dxa"/>
            <w:tcBorders>
              <w:top w:val="nil"/>
              <w:left w:val="single" w:sz="4" w:space="0" w:color="auto"/>
              <w:bottom w:val="nil"/>
              <w:right w:val="nil"/>
            </w:tcBorders>
            <w:shd w:val="clear" w:color="auto" w:fill="auto"/>
            <w:noWrap/>
            <w:vAlign w:val="center"/>
            <w:hideMark/>
          </w:tcPr>
          <w:p w:rsidR="00B13F3B" w:rsidRPr="00B13F3B" w:rsidP="00B13F3B">
            <w:pPr>
              <w:rPr>
                <w:rFonts w:ascii="Arial" w:eastAsia="Times New Roman" w:hAnsi="Arial" w:cs="Arial"/>
                <w:b/>
                <w:bCs/>
                <w:lang w:eastAsia="en-GB"/>
              </w:rPr>
            </w:pPr>
            <w:r w:rsidRPr="00B13F3B">
              <w:rPr>
                <w:rFonts w:ascii="Arial" w:eastAsia="Times New Roman" w:hAnsi="Arial" w:cs="Arial"/>
                <w:b/>
                <w:bCs/>
                <w:lang w:eastAsia="en-GB"/>
              </w:rPr>
              <w:t>Worden Park</w:t>
            </w:r>
          </w:p>
        </w:tc>
        <w:tc>
          <w:tcPr>
            <w:tcW w:w="1440" w:type="dxa"/>
            <w:tcBorders>
              <w:top w:val="nil"/>
              <w:left w:val="nil"/>
              <w:bottom w:val="nil"/>
              <w:right w:val="nil"/>
            </w:tcBorders>
            <w:shd w:val="clear" w:color="auto" w:fill="auto"/>
            <w:noWrap/>
            <w:vAlign w:val="center"/>
            <w:hideMark/>
          </w:tcPr>
          <w:p w:rsidR="00B13F3B" w:rsidRPr="00B12E80" w:rsidP="00B13F3B">
            <w:pPr>
              <w:rPr>
                <w:rFonts w:ascii="Arial" w:eastAsia="Times New Roman" w:hAnsi="Arial" w:cs="Arial"/>
                <w:b/>
                <w:bCs/>
                <w:lang w:eastAsia="en-GB"/>
              </w:rPr>
            </w:pPr>
          </w:p>
        </w:tc>
        <w:tc>
          <w:tcPr>
            <w:tcW w:w="1440" w:type="dxa"/>
            <w:tcBorders>
              <w:top w:val="nil"/>
              <w:left w:val="nil"/>
              <w:bottom w:val="nil"/>
              <w:right w:val="nil"/>
            </w:tcBorders>
            <w:shd w:val="clear" w:color="auto" w:fill="auto"/>
            <w:noWrap/>
            <w:vAlign w:val="center"/>
            <w:hideMark/>
          </w:tcPr>
          <w:p w:rsidR="00B13F3B" w:rsidRPr="00A33A47" w:rsidP="00B13F3B">
            <w:pPr>
              <w:rPr>
                <w:rFonts w:ascii="Times New Roman" w:eastAsia="Times New Roman" w:hAnsi="Times New Roman" w:cs="Times New Roman"/>
                <w:sz w:val="20"/>
                <w:szCs w:val="20"/>
                <w:lang w:eastAsia="en-GB"/>
              </w:rPr>
            </w:pPr>
          </w:p>
        </w:tc>
        <w:tc>
          <w:tcPr>
            <w:tcW w:w="1540" w:type="dxa"/>
            <w:tcBorders>
              <w:top w:val="nil"/>
              <w:left w:val="nil"/>
              <w:bottom w:val="nil"/>
              <w:right w:val="nil"/>
            </w:tcBorders>
            <w:shd w:val="clear" w:color="auto" w:fill="auto"/>
            <w:noWrap/>
            <w:vAlign w:val="center"/>
            <w:hideMark/>
          </w:tcPr>
          <w:p w:rsidR="00B13F3B" w:rsidRPr="00B13F3B" w:rsidP="00B13F3B">
            <w:pPr>
              <w:rPr>
                <w:rFonts w:ascii="Times New Roman" w:eastAsia="Times New Roman" w:hAnsi="Times New Roman" w:cs="Times New Roman"/>
                <w:sz w:val="20"/>
                <w:szCs w:val="20"/>
                <w:lang w:eastAsia="en-GB"/>
              </w:rPr>
            </w:pPr>
          </w:p>
        </w:tc>
        <w:tc>
          <w:tcPr>
            <w:tcW w:w="1243" w:type="dxa"/>
            <w:tcBorders>
              <w:top w:val="nil"/>
              <w:left w:val="nil"/>
              <w:bottom w:val="nil"/>
              <w:right w:val="single" w:sz="4" w:space="0" w:color="auto"/>
            </w:tcBorders>
            <w:shd w:val="clear" w:color="auto" w:fill="auto"/>
            <w:noWrap/>
            <w:vAlign w:val="center"/>
            <w:hideMark/>
          </w:tcPr>
          <w:p w:rsidR="00B13F3B" w:rsidRPr="00B13F3B" w:rsidP="00B13F3B">
            <w:pPr>
              <w:rPr>
                <w:rFonts w:ascii="Arial" w:eastAsia="Times New Roman" w:hAnsi="Arial" w:cs="Arial"/>
                <w:color w:val="000000"/>
                <w:lang w:eastAsia="en-GB"/>
              </w:rPr>
            </w:pPr>
            <w:r w:rsidRPr="00B13F3B">
              <w:rPr>
                <w:rFonts w:ascii="Arial" w:eastAsia="Times New Roman" w:hAnsi="Arial" w:cs="Arial"/>
                <w:color w:val="000000"/>
                <w:lang w:eastAsia="en-GB"/>
              </w:rPr>
              <w:t> </w:t>
            </w:r>
          </w:p>
        </w:tc>
      </w:tr>
      <w:tr w:rsidTr="009B1202">
        <w:tblPrEx>
          <w:tblW w:w="9423" w:type="dxa"/>
          <w:tblLook w:val="04A0"/>
        </w:tblPrEx>
        <w:trPr>
          <w:trHeight w:val="285"/>
        </w:trPr>
        <w:tc>
          <w:tcPr>
            <w:tcW w:w="3760" w:type="dxa"/>
            <w:tcBorders>
              <w:top w:val="single" w:sz="4" w:space="0" w:color="BFBFBF"/>
              <w:left w:val="single" w:sz="4" w:space="0" w:color="auto"/>
              <w:bottom w:val="single" w:sz="4" w:space="0" w:color="BFBFBF"/>
              <w:right w:val="single" w:sz="4" w:space="0" w:color="BFBFBF"/>
            </w:tcBorders>
            <w:shd w:val="clear" w:color="auto" w:fill="auto"/>
            <w:vAlign w:val="center"/>
            <w:hideMark/>
          </w:tcPr>
          <w:p w:rsidR="00B13F3B" w:rsidRPr="00B13F3B" w:rsidP="00B13F3B">
            <w:pPr>
              <w:rPr>
                <w:rFonts w:ascii="Arial" w:eastAsia="Times New Roman" w:hAnsi="Arial" w:cs="Arial"/>
                <w:color w:val="000000"/>
                <w:lang w:eastAsia="en-GB"/>
              </w:rPr>
            </w:pPr>
            <w:r w:rsidRPr="00B13F3B">
              <w:rPr>
                <w:rFonts w:ascii="Arial" w:eastAsia="Times New Roman" w:hAnsi="Arial" w:cs="Arial"/>
                <w:color w:val="000000"/>
                <w:lang w:eastAsia="en-GB"/>
              </w:rPr>
              <w:t>Shaw Brook weirs and banking</w:t>
            </w:r>
          </w:p>
        </w:tc>
        <w:tc>
          <w:tcPr>
            <w:tcW w:w="1440" w:type="dxa"/>
            <w:tcBorders>
              <w:top w:val="single" w:sz="4" w:space="0" w:color="BFBFBF"/>
              <w:left w:val="nil"/>
              <w:bottom w:val="single" w:sz="4" w:space="0" w:color="BFBFBF"/>
              <w:right w:val="single" w:sz="4" w:space="0" w:color="BFBFBF"/>
            </w:tcBorders>
            <w:shd w:val="clear" w:color="auto" w:fill="auto"/>
            <w:noWrap/>
            <w:vAlign w:val="center"/>
            <w:hideMark/>
          </w:tcPr>
          <w:p w:rsidR="00B13F3B" w:rsidRPr="00B12E80" w:rsidP="00B13F3B">
            <w:pPr>
              <w:rPr>
                <w:rFonts w:ascii="Arial" w:eastAsia="Times New Roman" w:hAnsi="Arial" w:cs="Arial"/>
                <w:color w:val="000000"/>
                <w:lang w:eastAsia="en-GB"/>
              </w:rPr>
            </w:pPr>
            <w:r w:rsidRPr="00B12E80">
              <w:rPr>
                <w:rFonts w:ascii="Arial" w:eastAsia="Times New Roman" w:hAnsi="Arial" w:cs="Arial"/>
                <w:color w:val="000000"/>
                <w:lang w:eastAsia="en-GB"/>
              </w:rPr>
              <w:t> </w:t>
            </w:r>
          </w:p>
        </w:tc>
        <w:tc>
          <w:tcPr>
            <w:tcW w:w="1440" w:type="dxa"/>
            <w:tcBorders>
              <w:top w:val="single" w:sz="4" w:space="0" w:color="BFBFBF"/>
              <w:left w:val="nil"/>
              <w:bottom w:val="single" w:sz="4" w:space="0" w:color="BFBFBF"/>
              <w:right w:val="single" w:sz="4" w:space="0" w:color="BFBFBF"/>
            </w:tcBorders>
            <w:shd w:val="clear" w:color="auto" w:fill="auto"/>
            <w:noWrap/>
            <w:vAlign w:val="center"/>
            <w:hideMark/>
          </w:tcPr>
          <w:p w:rsidR="00B13F3B" w:rsidRPr="00A33A47" w:rsidP="00B13F3B">
            <w:pPr>
              <w:jc w:val="right"/>
              <w:rPr>
                <w:rFonts w:ascii="Arial" w:eastAsia="Times New Roman" w:hAnsi="Arial" w:cs="Arial"/>
                <w:color w:val="000000"/>
                <w:lang w:eastAsia="en-GB"/>
              </w:rPr>
            </w:pPr>
            <w:r w:rsidRPr="00A33A47">
              <w:rPr>
                <w:rFonts w:ascii="Arial" w:eastAsia="Times New Roman" w:hAnsi="Arial" w:cs="Arial"/>
                <w:color w:val="000000"/>
                <w:lang w:eastAsia="en-GB"/>
              </w:rPr>
              <w:t xml:space="preserve">10 </w:t>
            </w:r>
          </w:p>
        </w:tc>
        <w:tc>
          <w:tcPr>
            <w:tcW w:w="1540" w:type="dxa"/>
            <w:tcBorders>
              <w:top w:val="single" w:sz="4" w:space="0" w:color="BFBFBF"/>
              <w:left w:val="nil"/>
              <w:bottom w:val="single" w:sz="4" w:space="0" w:color="BFBFBF"/>
              <w:right w:val="single" w:sz="4" w:space="0" w:color="BFBFBF"/>
            </w:tcBorders>
            <w:shd w:val="clear" w:color="auto" w:fill="auto"/>
            <w:vAlign w:val="center"/>
            <w:hideMark/>
          </w:tcPr>
          <w:p w:rsidR="00B13F3B" w:rsidRPr="00B13F3B" w:rsidP="00B13F3B">
            <w:pPr>
              <w:jc w:val="center"/>
              <w:rPr>
                <w:rFonts w:ascii="Arial" w:eastAsia="Times New Roman" w:hAnsi="Arial" w:cs="Arial"/>
                <w:color w:val="000000"/>
                <w:lang w:eastAsia="en-GB"/>
              </w:rPr>
            </w:pPr>
            <w:r w:rsidRPr="00B13F3B">
              <w:rPr>
                <w:rFonts w:ascii="Arial" w:eastAsia="Times New Roman" w:hAnsi="Arial" w:cs="Arial"/>
                <w:color w:val="000000"/>
                <w:lang w:eastAsia="en-GB"/>
              </w:rPr>
              <w:t>Council</w:t>
            </w:r>
          </w:p>
        </w:tc>
        <w:tc>
          <w:tcPr>
            <w:tcW w:w="1243" w:type="dxa"/>
            <w:tcBorders>
              <w:top w:val="single" w:sz="4" w:space="0" w:color="BFBFBF"/>
              <w:left w:val="nil"/>
              <w:bottom w:val="single" w:sz="4" w:space="0" w:color="BFBFBF"/>
              <w:right w:val="single" w:sz="4" w:space="0" w:color="auto"/>
            </w:tcBorders>
            <w:shd w:val="clear" w:color="auto" w:fill="auto"/>
            <w:vAlign w:val="center"/>
            <w:hideMark/>
          </w:tcPr>
          <w:p w:rsidR="00B13F3B" w:rsidRPr="00B13F3B" w:rsidP="00B13F3B">
            <w:pPr>
              <w:jc w:val="center"/>
              <w:rPr>
                <w:rFonts w:ascii="Arial" w:eastAsia="Times New Roman" w:hAnsi="Arial" w:cs="Arial"/>
                <w:color w:val="000000"/>
                <w:lang w:eastAsia="en-GB"/>
              </w:rPr>
            </w:pPr>
            <w:r w:rsidRPr="00B13F3B">
              <w:rPr>
                <w:rFonts w:ascii="Arial" w:eastAsia="Times New Roman" w:hAnsi="Arial" w:cs="Arial"/>
                <w:color w:val="000000"/>
                <w:lang w:eastAsia="en-GB"/>
              </w:rPr>
              <w:t>23/02/22</w:t>
            </w:r>
          </w:p>
        </w:tc>
      </w:tr>
      <w:tr w:rsidTr="009B1202">
        <w:tblPrEx>
          <w:tblW w:w="9423" w:type="dxa"/>
          <w:tblLook w:val="04A0"/>
        </w:tblPrEx>
        <w:trPr>
          <w:trHeight w:val="285"/>
        </w:trPr>
        <w:tc>
          <w:tcPr>
            <w:tcW w:w="3760" w:type="dxa"/>
            <w:tcBorders>
              <w:top w:val="nil"/>
              <w:left w:val="single" w:sz="4" w:space="0" w:color="auto"/>
              <w:bottom w:val="single" w:sz="4" w:space="0" w:color="BFBFBF"/>
              <w:right w:val="single" w:sz="4" w:space="0" w:color="BFBFBF"/>
            </w:tcBorders>
            <w:shd w:val="clear" w:color="auto" w:fill="auto"/>
            <w:vAlign w:val="center"/>
            <w:hideMark/>
          </w:tcPr>
          <w:p w:rsidR="00B13F3B" w:rsidRPr="00B13F3B" w:rsidP="00B13F3B">
            <w:pPr>
              <w:rPr>
                <w:rFonts w:ascii="Arial" w:eastAsia="Times New Roman" w:hAnsi="Arial" w:cs="Arial"/>
                <w:color w:val="000000"/>
                <w:lang w:eastAsia="en-GB"/>
              </w:rPr>
            </w:pPr>
            <w:r w:rsidRPr="00B13F3B">
              <w:rPr>
                <w:rFonts w:ascii="Arial" w:eastAsia="Times New Roman" w:hAnsi="Arial" w:cs="Arial"/>
                <w:color w:val="000000"/>
                <w:lang w:eastAsia="en-GB"/>
              </w:rPr>
              <w:t>Shaw Wood footpaths</w:t>
            </w:r>
          </w:p>
        </w:tc>
        <w:tc>
          <w:tcPr>
            <w:tcW w:w="1440" w:type="dxa"/>
            <w:tcBorders>
              <w:top w:val="nil"/>
              <w:left w:val="nil"/>
              <w:bottom w:val="single" w:sz="4" w:space="0" w:color="BFBFBF"/>
              <w:right w:val="single" w:sz="4" w:space="0" w:color="BFBFBF"/>
            </w:tcBorders>
            <w:shd w:val="clear" w:color="auto" w:fill="auto"/>
            <w:noWrap/>
            <w:vAlign w:val="center"/>
            <w:hideMark/>
          </w:tcPr>
          <w:p w:rsidR="00B13F3B" w:rsidRPr="00B12E80" w:rsidP="00B13F3B">
            <w:pPr>
              <w:rPr>
                <w:rFonts w:ascii="Arial" w:eastAsia="Times New Roman" w:hAnsi="Arial" w:cs="Arial"/>
                <w:color w:val="000000"/>
                <w:lang w:eastAsia="en-GB"/>
              </w:rPr>
            </w:pPr>
            <w:r w:rsidRPr="00B12E80">
              <w:rPr>
                <w:rFonts w:ascii="Arial" w:eastAsia="Times New Roman" w:hAnsi="Arial" w:cs="Arial"/>
                <w:color w:val="000000"/>
                <w:lang w:eastAsia="en-GB"/>
              </w:rPr>
              <w:t> </w:t>
            </w:r>
          </w:p>
        </w:tc>
        <w:tc>
          <w:tcPr>
            <w:tcW w:w="1440" w:type="dxa"/>
            <w:tcBorders>
              <w:top w:val="nil"/>
              <w:left w:val="nil"/>
              <w:bottom w:val="single" w:sz="4" w:space="0" w:color="BFBFBF"/>
              <w:right w:val="single" w:sz="4" w:space="0" w:color="BFBFBF"/>
            </w:tcBorders>
            <w:shd w:val="clear" w:color="auto" w:fill="auto"/>
            <w:noWrap/>
            <w:vAlign w:val="center"/>
            <w:hideMark/>
          </w:tcPr>
          <w:p w:rsidR="00B13F3B" w:rsidRPr="00A33A47" w:rsidP="00B13F3B">
            <w:pPr>
              <w:jc w:val="right"/>
              <w:rPr>
                <w:rFonts w:ascii="Arial" w:eastAsia="Times New Roman" w:hAnsi="Arial" w:cs="Arial"/>
                <w:color w:val="000000"/>
                <w:lang w:eastAsia="en-GB"/>
              </w:rPr>
            </w:pPr>
            <w:r w:rsidRPr="00A33A47">
              <w:rPr>
                <w:rFonts w:ascii="Arial" w:eastAsia="Times New Roman" w:hAnsi="Arial" w:cs="Arial"/>
                <w:color w:val="000000"/>
                <w:lang w:eastAsia="en-GB"/>
              </w:rPr>
              <w:t xml:space="preserve">17 </w:t>
            </w:r>
          </w:p>
        </w:tc>
        <w:tc>
          <w:tcPr>
            <w:tcW w:w="1540" w:type="dxa"/>
            <w:tcBorders>
              <w:top w:val="nil"/>
              <w:left w:val="nil"/>
              <w:bottom w:val="single" w:sz="4" w:space="0" w:color="BFBFBF"/>
              <w:right w:val="single" w:sz="4" w:space="0" w:color="BFBFBF"/>
            </w:tcBorders>
            <w:shd w:val="clear" w:color="auto" w:fill="auto"/>
            <w:vAlign w:val="center"/>
            <w:hideMark/>
          </w:tcPr>
          <w:p w:rsidR="00B13F3B" w:rsidRPr="00B13F3B" w:rsidP="00B13F3B">
            <w:pPr>
              <w:jc w:val="center"/>
              <w:rPr>
                <w:rFonts w:ascii="Arial" w:eastAsia="Times New Roman" w:hAnsi="Arial" w:cs="Arial"/>
                <w:color w:val="000000"/>
                <w:lang w:eastAsia="en-GB"/>
              </w:rPr>
            </w:pPr>
            <w:r w:rsidRPr="00B13F3B">
              <w:rPr>
                <w:rFonts w:ascii="Arial" w:eastAsia="Times New Roman" w:hAnsi="Arial" w:cs="Arial"/>
                <w:color w:val="000000"/>
                <w:lang w:eastAsia="en-GB"/>
              </w:rPr>
              <w:t>Council</w:t>
            </w:r>
          </w:p>
        </w:tc>
        <w:tc>
          <w:tcPr>
            <w:tcW w:w="1243" w:type="dxa"/>
            <w:tcBorders>
              <w:top w:val="nil"/>
              <w:left w:val="nil"/>
              <w:bottom w:val="single" w:sz="4" w:space="0" w:color="BFBFBF"/>
              <w:right w:val="single" w:sz="4" w:space="0" w:color="auto"/>
            </w:tcBorders>
            <w:shd w:val="clear" w:color="auto" w:fill="auto"/>
            <w:vAlign w:val="center"/>
            <w:hideMark/>
          </w:tcPr>
          <w:p w:rsidR="00B13F3B" w:rsidRPr="00B13F3B" w:rsidP="00B13F3B">
            <w:pPr>
              <w:jc w:val="center"/>
              <w:rPr>
                <w:rFonts w:ascii="Arial" w:eastAsia="Times New Roman" w:hAnsi="Arial" w:cs="Arial"/>
                <w:color w:val="000000"/>
                <w:lang w:eastAsia="en-GB"/>
              </w:rPr>
            </w:pPr>
            <w:r w:rsidRPr="00B13F3B">
              <w:rPr>
                <w:rFonts w:ascii="Arial" w:eastAsia="Times New Roman" w:hAnsi="Arial" w:cs="Arial"/>
                <w:color w:val="000000"/>
                <w:lang w:eastAsia="en-GB"/>
              </w:rPr>
              <w:t>23/02/22</w:t>
            </w:r>
          </w:p>
        </w:tc>
      </w:tr>
      <w:tr w:rsidTr="009B1202">
        <w:tblPrEx>
          <w:tblW w:w="9423" w:type="dxa"/>
          <w:tblLook w:val="04A0"/>
        </w:tblPrEx>
        <w:trPr>
          <w:trHeight w:val="570"/>
        </w:trPr>
        <w:tc>
          <w:tcPr>
            <w:tcW w:w="3760" w:type="dxa"/>
            <w:tcBorders>
              <w:top w:val="nil"/>
              <w:left w:val="single" w:sz="4" w:space="0" w:color="auto"/>
              <w:bottom w:val="single" w:sz="4" w:space="0" w:color="BFBFBF"/>
              <w:right w:val="single" w:sz="4" w:space="0" w:color="BFBFBF"/>
            </w:tcBorders>
            <w:shd w:val="clear" w:color="auto" w:fill="auto"/>
            <w:vAlign w:val="center"/>
            <w:hideMark/>
          </w:tcPr>
          <w:p w:rsidR="00B13F3B" w:rsidRPr="00B13F3B" w:rsidP="00B13F3B">
            <w:pPr>
              <w:rPr>
                <w:rFonts w:ascii="Arial" w:eastAsia="Times New Roman" w:hAnsi="Arial" w:cs="Arial"/>
                <w:color w:val="000000"/>
                <w:lang w:eastAsia="en-GB"/>
              </w:rPr>
            </w:pPr>
            <w:r w:rsidRPr="00B13F3B">
              <w:rPr>
                <w:rFonts w:ascii="Arial" w:eastAsia="Times New Roman" w:hAnsi="Arial" w:cs="Arial"/>
                <w:color w:val="000000"/>
                <w:lang w:eastAsia="en-GB"/>
              </w:rPr>
              <w:t>Worden Park infrastructure and landscaping</w:t>
            </w:r>
          </w:p>
        </w:tc>
        <w:tc>
          <w:tcPr>
            <w:tcW w:w="1440" w:type="dxa"/>
            <w:tcBorders>
              <w:top w:val="nil"/>
              <w:left w:val="nil"/>
              <w:bottom w:val="single" w:sz="4" w:space="0" w:color="BFBFBF"/>
              <w:right w:val="single" w:sz="4" w:space="0" w:color="BFBFBF"/>
            </w:tcBorders>
            <w:shd w:val="clear" w:color="auto" w:fill="auto"/>
            <w:noWrap/>
            <w:vAlign w:val="center"/>
            <w:hideMark/>
          </w:tcPr>
          <w:p w:rsidR="00B13F3B" w:rsidRPr="00B12E80" w:rsidP="00B13F3B">
            <w:pPr>
              <w:rPr>
                <w:rFonts w:ascii="Arial" w:eastAsia="Times New Roman" w:hAnsi="Arial" w:cs="Arial"/>
                <w:color w:val="000000"/>
                <w:lang w:eastAsia="en-GB"/>
              </w:rPr>
            </w:pPr>
            <w:r w:rsidRPr="00B12E80">
              <w:rPr>
                <w:rFonts w:ascii="Arial" w:eastAsia="Times New Roman" w:hAnsi="Arial" w:cs="Arial"/>
                <w:color w:val="000000"/>
                <w:lang w:eastAsia="en-GB"/>
              </w:rPr>
              <w:t> </w:t>
            </w:r>
          </w:p>
        </w:tc>
        <w:tc>
          <w:tcPr>
            <w:tcW w:w="1440" w:type="dxa"/>
            <w:tcBorders>
              <w:top w:val="nil"/>
              <w:left w:val="nil"/>
              <w:bottom w:val="single" w:sz="4" w:space="0" w:color="BFBFBF"/>
              <w:right w:val="single" w:sz="4" w:space="0" w:color="BFBFBF"/>
            </w:tcBorders>
            <w:shd w:val="clear" w:color="auto" w:fill="auto"/>
            <w:noWrap/>
            <w:vAlign w:val="center"/>
            <w:hideMark/>
          </w:tcPr>
          <w:p w:rsidR="00B13F3B" w:rsidRPr="00A33A47" w:rsidP="00B13F3B">
            <w:pPr>
              <w:jc w:val="right"/>
              <w:rPr>
                <w:rFonts w:ascii="Arial" w:eastAsia="Times New Roman" w:hAnsi="Arial" w:cs="Arial"/>
                <w:color w:val="000000"/>
                <w:lang w:eastAsia="en-GB"/>
              </w:rPr>
            </w:pPr>
            <w:r w:rsidRPr="00A33A47">
              <w:rPr>
                <w:rFonts w:ascii="Arial" w:eastAsia="Times New Roman" w:hAnsi="Arial" w:cs="Arial"/>
                <w:color w:val="000000"/>
                <w:lang w:eastAsia="en-GB"/>
              </w:rPr>
              <w:t xml:space="preserve">150 </w:t>
            </w:r>
          </w:p>
        </w:tc>
        <w:tc>
          <w:tcPr>
            <w:tcW w:w="1540" w:type="dxa"/>
            <w:tcBorders>
              <w:top w:val="nil"/>
              <w:left w:val="nil"/>
              <w:bottom w:val="single" w:sz="4" w:space="0" w:color="BFBFBF"/>
              <w:right w:val="single" w:sz="4" w:space="0" w:color="BFBFBF"/>
            </w:tcBorders>
            <w:shd w:val="clear" w:color="auto" w:fill="auto"/>
            <w:vAlign w:val="center"/>
            <w:hideMark/>
          </w:tcPr>
          <w:p w:rsidR="00B13F3B" w:rsidRPr="00B13F3B" w:rsidP="00B13F3B">
            <w:pPr>
              <w:jc w:val="center"/>
              <w:rPr>
                <w:rFonts w:ascii="Arial" w:eastAsia="Times New Roman" w:hAnsi="Arial" w:cs="Arial"/>
                <w:color w:val="000000"/>
                <w:lang w:eastAsia="en-GB"/>
              </w:rPr>
            </w:pPr>
            <w:r w:rsidRPr="00B13F3B">
              <w:rPr>
                <w:rFonts w:ascii="Arial" w:eastAsia="Times New Roman" w:hAnsi="Arial" w:cs="Arial"/>
                <w:color w:val="000000"/>
                <w:lang w:eastAsia="en-GB"/>
              </w:rPr>
              <w:t>Council</w:t>
            </w:r>
          </w:p>
        </w:tc>
        <w:tc>
          <w:tcPr>
            <w:tcW w:w="1243" w:type="dxa"/>
            <w:tcBorders>
              <w:top w:val="nil"/>
              <w:left w:val="nil"/>
              <w:bottom w:val="single" w:sz="4" w:space="0" w:color="BFBFBF"/>
              <w:right w:val="single" w:sz="4" w:space="0" w:color="auto"/>
            </w:tcBorders>
            <w:shd w:val="clear" w:color="auto" w:fill="auto"/>
            <w:vAlign w:val="center"/>
            <w:hideMark/>
          </w:tcPr>
          <w:p w:rsidR="00B13F3B" w:rsidRPr="00B13F3B" w:rsidP="00B13F3B">
            <w:pPr>
              <w:jc w:val="center"/>
              <w:rPr>
                <w:rFonts w:ascii="Arial" w:eastAsia="Times New Roman" w:hAnsi="Arial" w:cs="Arial"/>
                <w:color w:val="000000"/>
                <w:lang w:eastAsia="en-GB"/>
              </w:rPr>
            </w:pPr>
            <w:r w:rsidRPr="00B13F3B">
              <w:rPr>
                <w:rFonts w:ascii="Arial" w:eastAsia="Times New Roman" w:hAnsi="Arial" w:cs="Arial"/>
                <w:color w:val="000000"/>
                <w:lang w:eastAsia="en-GB"/>
              </w:rPr>
              <w:t>23/02/22</w:t>
            </w:r>
          </w:p>
        </w:tc>
      </w:tr>
      <w:tr w:rsidTr="009B1202">
        <w:tblPrEx>
          <w:tblW w:w="9423" w:type="dxa"/>
          <w:tblLook w:val="04A0"/>
        </w:tblPrEx>
        <w:trPr>
          <w:trHeight w:val="300"/>
        </w:trPr>
        <w:tc>
          <w:tcPr>
            <w:tcW w:w="3760" w:type="dxa"/>
            <w:tcBorders>
              <w:top w:val="nil"/>
              <w:left w:val="single" w:sz="4" w:space="0" w:color="auto"/>
              <w:bottom w:val="nil"/>
              <w:right w:val="nil"/>
            </w:tcBorders>
            <w:shd w:val="clear" w:color="auto" w:fill="auto"/>
            <w:noWrap/>
            <w:vAlign w:val="center"/>
            <w:hideMark/>
          </w:tcPr>
          <w:p w:rsidR="00B13F3B" w:rsidRPr="00B13F3B" w:rsidP="00B13F3B">
            <w:pPr>
              <w:rPr>
                <w:rFonts w:ascii="Arial" w:eastAsia="Times New Roman" w:hAnsi="Arial" w:cs="Arial"/>
                <w:b/>
                <w:bCs/>
                <w:lang w:eastAsia="en-GB"/>
              </w:rPr>
            </w:pPr>
            <w:r w:rsidRPr="00B13F3B">
              <w:rPr>
                <w:rFonts w:ascii="Arial" w:eastAsia="Times New Roman" w:hAnsi="Arial" w:cs="Arial"/>
                <w:b/>
                <w:bCs/>
                <w:lang w:eastAsia="en-GB"/>
              </w:rPr>
              <w:t>Other Parks and Open Spaces</w:t>
            </w:r>
          </w:p>
        </w:tc>
        <w:tc>
          <w:tcPr>
            <w:tcW w:w="1440" w:type="dxa"/>
            <w:tcBorders>
              <w:top w:val="nil"/>
              <w:left w:val="nil"/>
              <w:bottom w:val="nil"/>
              <w:right w:val="nil"/>
            </w:tcBorders>
            <w:shd w:val="clear" w:color="auto" w:fill="auto"/>
            <w:noWrap/>
            <w:vAlign w:val="center"/>
            <w:hideMark/>
          </w:tcPr>
          <w:p w:rsidR="00B13F3B" w:rsidRPr="00B12E80" w:rsidP="00B13F3B">
            <w:pPr>
              <w:rPr>
                <w:rFonts w:ascii="Arial" w:eastAsia="Times New Roman" w:hAnsi="Arial" w:cs="Arial"/>
                <w:b/>
                <w:bCs/>
                <w:lang w:eastAsia="en-GB"/>
              </w:rPr>
            </w:pPr>
          </w:p>
        </w:tc>
        <w:tc>
          <w:tcPr>
            <w:tcW w:w="1440" w:type="dxa"/>
            <w:tcBorders>
              <w:top w:val="nil"/>
              <w:left w:val="nil"/>
              <w:bottom w:val="nil"/>
              <w:right w:val="nil"/>
            </w:tcBorders>
            <w:shd w:val="clear" w:color="auto" w:fill="auto"/>
            <w:noWrap/>
            <w:vAlign w:val="center"/>
            <w:hideMark/>
          </w:tcPr>
          <w:p w:rsidR="00B13F3B" w:rsidRPr="00A33A47" w:rsidP="00B13F3B">
            <w:pPr>
              <w:rPr>
                <w:rFonts w:ascii="Times New Roman" w:eastAsia="Times New Roman" w:hAnsi="Times New Roman" w:cs="Times New Roman"/>
                <w:sz w:val="20"/>
                <w:szCs w:val="20"/>
                <w:lang w:eastAsia="en-GB"/>
              </w:rPr>
            </w:pPr>
          </w:p>
        </w:tc>
        <w:tc>
          <w:tcPr>
            <w:tcW w:w="1540" w:type="dxa"/>
            <w:tcBorders>
              <w:top w:val="nil"/>
              <w:left w:val="nil"/>
              <w:bottom w:val="nil"/>
              <w:right w:val="nil"/>
            </w:tcBorders>
            <w:shd w:val="clear" w:color="auto" w:fill="auto"/>
            <w:noWrap/>
            <w:vAlign w:val="center"/>
            <w:hideMark/>
          </w:tcPr>
          <w:p w:rsidR="00B13F3B" w:rsidRPr="00B13F3B" w:rsidP="00B13F3B">
            <w:pPr>
              <w:rPr>
                <w:rFonts w:ascii="Times New Roman" w:eastAsia="Times New Roman" w:hAnsi="Times New Roman" w:cs="Times New Roman"/>
                <w:sz w:val="20"/>
                <w:szCs w:val="20"/>
                <w:lang w:eastAsia="en-GB"/>
              </w:rPr>
            </w:pPr>
          </w:p>
        </w:tc>
        <w:tc>
          <w:tcPr>
            <w:tcW w:w="1243" w:type="dxa"/>
            <w:tcBorders>
              <w:top w:val="nil"/>
              <w:left w:val="nil"/>
              <w:bottom w:val="nil"/>
              <w:right w:val="single" w:sz="4" w:space="0" w:color="auto"/>
            </w:tcBorders>
            <w:shd w:val="clear" w:color="auto" w:fill="auto"/>
            <w:noWrap/>
            <w:vAlign w:val="center"/>
            <w:hideMark/>
          </w:tcPr>
          <w:p w:rsidR="00B13F3B" w:rsidRPr="00B13F3B" w:rsidP="00B13F3B">
            <w:pPr>
              <w:rPr>
                <w:rFonts w:ascii="Arial" w:eastAsia="Times New Roman" w:hAnsi="Arial" w:cs="Arial"/>
                <w:color w:val="000000"/>
                <w:lang w:eastAsia="en-GB"/>
              </w:rPr>
            </w:pPr>
            <w:r w:rsidRPr="00B13F3B">
              <w:rPr>
                <w:rFonts w:ascii="Arial" w:eastAsia="Times New Roman" w:hAnsi="Arial" w:cs="Arial"/>
                <w:color w:val="000000"/>
                <w:lang w:eastAsia="en-GB"/>
              </w:rPr>
              <w:t> </w:t>
            </w:r>
          </w:p>
        </w:tc>
      </w:tr>
      <w:tr w:rsidTr="009B1202">
        <w:tblPrEx>
          <w:tblW w:w="9423" w:type="dxa"/>
          <w:tblLook w:val="04A0"/>
        </w:tblPrEx>
        <w:trPr>
          <w:trHeight w:val="285"/>
        </w:trPr>
        <w:tc>
          <w:tcPr>
            <w:tcW w:w="3760" w:type="dxa"/>
            <w:tcBorders>
              <w:top w:val="single" w:sz="4" w:space="0" w:color="BFBFBF"/>
              <w:left w:val="single" w:sz="4" w:space="0" w:color="auto"/>
              <w:bottom w:val="single" w:sz="4" w:space="0" w:color="BFBFBF"/>
              <w:right w:val="single" w:sz="4" w:space="0" w:color="BFBFBF"/>
            </w:tcBorders>
            <w:shd w:val="clear" w:color="auto" w:fill="auto"/>
            <w:vAlign w:val="center"/>
            <w:hideMark/>
          </w:tcPr>
          <w:p w:rsidR="00B13F3B" w:rsidRPr="00B13F3B" w:rsidP="00B13F3B">
            <w:pPr>
              <w:rPr>
                <w:rFonts w:ascii="Arial" w:eastAsia="Times New Roman" w:hAnsi="Arial" w:cs="Arial"/>
                <w:color w:val="000000"/>
                <w:lang w:eastAsia="en-GB"/>
              </w:rPr>
            </w:pPr>
            <w:r w:rsidRPr="00B13F3B">
              <w:rPr>
                <w:rFonts w:ascii="Arial" w:eastAsia="Times New Roman" w:hAnsi="Arial" w:cs="Arial"/>
                <w:color w:val="000000"/>
                <w:lang w:eastAsia="en-GB"/>
              </w:rPr>
              <w:t xml:space="preserve">Open Spaces - </w:t>
            </w:r>
            <w:r w:rsidRPr="00B13F3B">
              <w:rPr>
                <w:rFonts w:ascii="Arial" w:eastAsia="Times New Roman" w:hAnsi="Arial" w:cs="Arial"/>
                <w:color w:val="000000"/>
                <w:lang w:eastAsia="en-GB"/>
              </w:rPr>
              <w:t>Mounsey</w:t>
            </w:r>
            <w:r w:rsidRPr="00B13F3B">
              <w:rPr>
                <w:rFonts w:ascii="Arial" w:eastAsia="Times New Roman" w:hAnsi="Arial" w:cs="Arial"/>
                <w:color w:val="000000"/>
                <w:lang w:eastAsia="en-GB"/>
              </w:rPr>
              <w:t xml:space="preserve"> Road</w:t>
            </w:r>
          </w:p>
        </w:tc>
        <w:tc>
          <w:tcPr>
            <w:tcW w:w="1440" w:type="dxa"/>
            <w:tcBorders>
              <w:top w:val="single" w:sz="4" w:space="0" w:color="BFBFBF"/>
              <w:left w:val="nil"/>
              <w:bottom w:val="single" w:sz="4" w:space="0" w:color="BFBFBF"/>
              <w:right w:val="single" w:sz="4" w:space="0" w:color="BFBFBF"/>
            </w:tcBorders>
            <w:shd w:val="clear" w:color="auto" w:fill="auto"/>
            <w:noWrap/>
            <w:vAlign w:val="center"/>
            <w:hideMark/>
          </w:tcPr>
          <w:p w:rsidR="00B13F3B" w:rsidRPr="00B12E80" w:rsidP="00B12E80">
            <w:pPr>
              <w:jc w:val="center"/>
              <w:rPr>
                <w:rFonts w:ascii="Arial" w:eastAsia="Times New Roman" w:hAnsi="Arial" w:cs="Arial"/>
                <w:color w:val="000000"/>
                <w:lang w:eastAsia="en-GB"/>
              </w:rPr>
            </w:pPr>
          </w:p>
        </w:tc>
        <w:tc>
          <w:tcPr>
            <w:tcW w:w="1440" w:type="dxa"/>
            <w:tcBorders>
              <w:top w:val="single" w:sz="4" w:space="0" w:color="BFBFBF"/>
              <w:left w:val="nil"/>
              <w:bottom w:val="single" w:sz="4" w:space="0" w:color="BFBFBF"/>
              <w:right w:val="single" w:sz="4" w:space="0" w:color="BFBFBF"/>
            </w:tcBorders>
            <w:shd w:val="clear" w:color="auto" w:fill="auto"/>
            <w:noWrap/>
            <w:vAlign w:val="center"/>
            <w:hideMark/>
          </w:tcPr>
          <w:p w:rsidR="00B13F3B" w:rsidRPr="00A33A47" w:rsidP="00B13F3B">
            <w:pPr>
              <w:jc w:val="right"/>
              <w:rPr>
                <w:rFonts w:ascii="Arial" w:eastAsia="Times New Roman" w:hAnsi="Arial" w:cs="Arial"/>
                <w:color w:val="000000"/>
                <w:lang w:eastAsia="en-GB"/>
              </w:rPr>
            </w:pPr>
            <w:r w:rsidRPr="00A33A47">
              <w:rPr>
                <w:rFonts w:ascii="Arial" w:eastAsia="Times New Roman" w:hAnsi="Arial" w:cs="Arial"/>
                <w:color w:val="000000"/>
                <w:lang w:eastAsia="en-GB"/>
              </w:rPr>
              <w:t>30</w:t>
            </w:r>
          </w:p>
        </w:tc>
        <w:tc>
          <w:tcPr>
            <w:tcW w:w="1540" w:type="dxa"/>
            <w:tcBorders>
              <w:top w:val="single" w:sz="4" w:space="0" w:color="BFBFBF"/>
              <w:left w:val="nil"/>
              <w:bottom w:val="single" w:sz="4" w:space="0" w:color="BFBFBF"/>
              <w:right w:val="single" w:sz="4" w:space="0" w:color="BFBFBF"/>
            </w:tcBorders>
            <w:shd w:val="clear" w:color="auto" w:fill="auto"/>
            <w:vAlign w:val="center"/>
            <w:hideMark/>
          </w:tcPr>
          <w:p w:rsidR="00B13F3B" w:rsidRPr="00B13F3B" w:rsidP="00B13F3B">
            <w:pPr>
              <w:jc w:val="center"/>
              <w:rPr>
                <w:rFonts w:ascii="Arial" w:eastAsia="Times New Roman" w:hAnsi="Arial" w:cs="Arial"/>
                <w:color w:val="000000"/>
                <w:lang w:eastAsia="en-GB"/>
              </w:rPr>
            </w:pPr>
            <w:r w:rsidRPr="00B13F3B">
              <w:rPr>
                <w:rFonts w:ascii="Arial" w:eastAsia="Times New Roman" w:hAnsi="Arial" w:cs="Arial"/>
                <w:color w:val="000000"/>
                <w:lang w:eastAsia="en-GB"/>
              </w:rPr>
              <w:t>Council</w:t>
            </w:r>
          </w:p>
        </w:tc>
        <w:tc>
          <w:tcPr>
            <w:tcW w:w="1243" w:type="dxa"/>
            <w:tcBorders>
              <w:top w:val="single" w:sz="4" w:space="0" w:color="BFBFBF"/>
              <w:left w:val="nil"/>
              <w:bottom w:val="single" w:sz="4" w:space="0" w:color="BFBFBF"/>
              <w:right w:val="single" w:sz="4" w:space="0" w:color="auto"/>
            </w:tcBorders>
            <w:shd w:val="clear" w:color="auto" w:fill="auto"/>
            <w:vAlign w:val="center"/>
            <w:hideMark/>
          </w:tcPr>
          <w:p w:rsidR="00B13F3B" w:rsidRPr="00B13F3B" w:rsidP="00B13F3B">
            <w:pPr>
              <w:jc w:val="center"/>
              <w:rPr>
                <w:rFonts w:ascii="Arial" w:eastAsia="Times New Roman" w:hAnsi="Arial" w:cs="Arial"/>
                <w:color w:val="000000"/>
                <w:lang w:eastAsia="en-GB"/>
              </w:rPr>
            </w:pPr>
            <w:r w:rsidRPr="00B13F3B">
              <w:rPr>
                <w:rFonts w:ascii="Arial" w:eastAsia="Times New Roman" w:hAnsi="Arial" w:cs="Arial"/>
                <w:color w:val="000000"/>
                <w:lang w:eastAsia="en-GB"/>
              </w:rPr>
              <w:t>23/02/22</w:t>
            </w:r>
          </w:p>
        </w:tc>
      </w:tr>
      <w:tr w:rsidTr="009B1202">
        <w:tblPrEx>
          <w:tblW w:w="9423" w:type="dxa"/>
          <w:tblLook w:val="04A0"/>
        </w:tblPrEx>
        <w:trPr>
          <w:trHeight w:val="285"/>
        </w:trPr>
        <w:tc>
          <w:tcPr>
            <w:tcW w:w="3760" w:type="dxa"/>
            <w:tcBorders>
              <w:top w:val="nil"/>
              <w:left w:val="single" w:sz="4" w:space="0" w:color="auto"/>
              <w:bottom w:val="single" w:sz="4" w:space="0" w:color="BFBFBF"/>
              <w:right w:val="single" w:sz="4" w:space="0" w:color="BFBFBF"/>
            </w:tcBorders>
            <w:shd w:val="clear" w:color="auto" w:fill="auto"/>
            <w:vAlign w:val="center"/>
            <w:hideMark/>
          </w:tcPr>
          <w:p w:rsidR="00B13F3B" w:rsidRPr="00B13F3B" w:rsidP="00B13F3B">
            <w:pPr>
              <w:rPr>
                <w:rFonts w:ascii="Arial" w:eastAsia="Times New Roman" w:hAnsi="Arial" w:cs="Arial"/>
                <w:color w:val="000000"/>
                <w:lang w:eastAsia="en-GB"/>
              </w:rPr>
            </w:pPr>
            <w:r w:rsidRPr="00B13F3B">
              <w:rPr>
                <w:rFonts w:ascii="Arial" w:eastAsia="Times New Roman" w:hAnsi="Arial" w:cs="Arial"/>
                <w:color w:val="000000"/>
                <w:lang w:eastAsia="en-GB"/>
              </w:rPr>
              <w:t xml:space="preserve">Playground - Birch Avenue, </w:t>
            </w:r>
            <w:r w:rsidRPr="00B13F3B">
              <w:rPr>
                <w:rFonts w:ascii="Arial" w:eastAsia="Times New Roman" w:hAnsi="Arial" w:cs="Arial"/>
                <w:color w:val="000000"/>
                <w:lang w:eastAsia="en-GB"/>
              </w:rPr>
              <w:t>Penw</w:t>
            </w:r>
          </w:p>
        </w:tc>
        <w:tc>
          <w:tcPr>
            <w:tcW w:w="1440" w:type="dxa"/>
            <w:tcBorders>
              <w:top w:val="nil"/>
              <w:left w:val="nil"/>
              <w:bottom w:val="single" w:sz="4" w:space="0" w:color="BFBFBF"/>
              <w:right w:val="single" w:sz="4" w:space="0" w:color="BFBFBF"/>
            </w:tcBorders>
            <w:shd w:val="clear" w:color="auto" w:fill="auto"/>
            <w:noWrap/>
            <w:vAlign w:val="center"/>
            <w:hideMark/>
          </w:tcPr>
          <w:p w:rsidR="00B13F3B" w:rsidRPr="00B12E80" w:rsidP="00B13F3B">
            <w:pPr>
              <w:jc w:val="right"/>
              <w:rPr>
                <w:rFonts w:ascii="Arial" w:eastAsia="Times New Roman" w:hAnsi="Arial" w:cs="Arial"/>
                <w:color w:val="000000"/>
                <w:lang w:eastAsia="en-GB"/>
              </w:rPr>
            </w:pPr>
          </w:p>
        </w:tc>
        <w:tc>
          <w:tcPr>
            <w:tcW w:w="1440" w:type="dxa"/>
            <w:tcBorders>
              <w:top w:val="nil"/>
              <w:left w:val="nil"/>
              <w:bottom w:val="single" w:sz="4" w:space="0" w:color="BFBFBF"/>
              <w:right w:val="single" w:sz="4" w:space="0" w:color="BFBFBF"/>
            </w:tcBorders>
            <w:shd w:val="clear" w:color="auto" w:fill="auto"/>
            <w:noWrap/>
            <w:vAlign w:val="center"/>
            <w:hideMark/>
          </w:tcPr>
          <w:p w:rsidR="00B13F3B" w:rsidRPr="00A33A47" w:rsidP="00B13F3B">
            <w:pPr>
              <w:jc w:val="right"/>
              <w:rPr>
                <w:rFonts w:ascii="Arial" w:eastAsia="Times New Roman" w:hAnsi="Arial" w:cs="Arial"/>
                <w:color w:val="000000"/>
                <w:lang w:eastAsia="en-GB"/>
              </w:rPr>
            </w:pPr>
            <w:r w:rsidRPr="00A33A47">
              <w:rPr>
                <w:rFonts w:ascii="Arial" w:eastAsia="Times New Roman" w:hAnsi="Arial" w:cs="Arial"/>
                <w:color w:val="000000"/>
                <w:lang w:eastAsia="en-GB"/>
              </w:rPr>
              <w:t xml:space="preserve">70 </w:t>
            </w:r>
          </w:p>
        </w:tc>
        <w:tc>
          <w:tcPr>
            <w:tcW w:w="1540" w:type="dxa"/>
            <w:tcBorders>
              <w:top w:val="nil"/>
              <w:left w:val="nil"/>
              <w:bottom w:val="single" w:sz="4" w:space="0" w:color="BFBFBF"/>
              <w:right w:val="single" w:sz="4" w:space="0" w:color="BFBFBF"/>
            </w:tcBorders>
            <w:shd w:val="clear" w:color="auto" w:fill="auto"/>
            <w:vAlign w:val="center"/>
            <w:hideMark/>
          </w:tcPr>
          <w:p w:rsidR="00B13F3B" w:rsidRPr="00B13F3B" w:rsidP="00B13F3B">
            <w:pPr>
              <w:jc w:val="center"/>
              <w:rPr>
                <w:rFonts w:ascii="Arial" w:eastAsia="Times New Roman" w:hAnsi="Arial" w:cs="Arial"/>
                <w:color w:val="000000"/>
                <w:lang w:eastAsia="en-GB"/>
              </w:rPr>
            </w:pPr>
            <w:r w:rsidRPr="00B13F3B">
              <w:rPr>
                <w:rFonts w:ascii="Arial" w:eastAsia="Times New Roman" w:hAnsi="Arial" w:cs="Arial"/>
                <w:color w:val="000000"/>
                <w:lang w:eastAsia="en-GB"/>
              </w:rPr>
              <w:t>Council</w:t>
            </w:r>
          </w:p>
        </w:tc>
        <w:tc>
          <w:tcPr>
            <w:tcW w:w="1243" w:type="dxa"/>
            <w:tcBorders>
              <w:top w:val="nil"/>
              <w:left w:val="nil"/>
              <w:bottom w:val="single" w:sz="4" w:space="0" w:color="BFBFBF"/>
              <w:right w:val="single" w:sz="4" w:space="0" w:color="auto"/>
            </w:tcBorders>
            <w:shd w:val="clear" w:color="auto" w:fill="auto"/>
            <w:vAlign w:val="center"/>
            <w:hideMark/>
          </w:tcPr>
          <w:p w:rsidR="00B13F3B" w:rsidRPr="00B13F3B" w:rsidP="00B13F3B">
            <w:pPr>
              <w:jc w:val="center"/>
              <w:rPr>
                <w:rFonts w:ascii="Arial" w:eastAsia="Times New Roman" w:hAnsi="Arial" w:cs="Arial"/>
                <w:color w:val="000000"/>
                <w:lang w:eastAsia="en-GB"/>
              </w:rPr>
            </w:pPr>
            <w:r w:rsidRPr="00B13F3B">
              <w:rPr>
                <w:rFonts w:ascii="Arial" w:eastAsia="Times New Roman" w:hAnsi="Arial" w:cs="Arial"/>
                <w:color w:val="000000"/>
                <w:lang w:eastAsia="en-GB"/>
              </w:rPr>
              <w:t>26/01/22</w:t>
            </w:r>
          </w:p>
        </w:tc>
      </w:tr>
      <w:tr w:rsidTr="009B1202">
        <w:tblPrEx>
          <w:tblW w:w="9423" w:type="dxa"/>
          <w:tblLook w:val="04A0"/>
        </w:tblPrEx>
        <w:trPr>
          <w:trHeight w:val="285"/>
        </w:trPr>
        <w:tc>
          <w:tcPr>
            <w:tcW w:w="3760" w:type="dxa"/>
            <w:tcBorders>
              <w:top w:val="nil"/>
              <w:left w:val="single" w:sz="4" w:space="0" w:color="auto"/>
              <w:bottom w:val="single" w:sz="4" w:space="0" w:color="BFBFBF"/>
              <w:right w:val="single" w:sz="4" w:space="0" w:color="BFBFBF"/>
            </w:tcBorders>
            <w:shd w:val="clear" w:color="auto" w:fill="auto"/>
            <w:vAlign w:val="center"/>
            <w:hideMark/>
          </w:tcPr>
          <w:p w:rsidR="00B13F3B" w:rsidRPr="00B13F3B" w:rsidP="00B13F3B">
            <w:pPr>
              <w:rPr>
                <w:rFonts w:ascii="Arial" w:eastAsia="Times New Roman" w:hAnsi="Arial" w:cs="Arial"/>
                <w:color w:val="000000"/>
                <w:lang w:eastAsia="en-GB"/>
              </w:rPr>
            </w:pPr>
            <w:r w:rsidRPr="00B13F3B">
              <w:rPr>
                <w:rFonts w:ascii="Arial" w:eastAsia="Times New Roman" w:hAnsi="Arial" w:cs="Arial"/>
                <w:color w:val="000000"/>
                <w:lang w:eastAsia="en-GB"/>
              </w:rPr>
              <w:t xml:space="preserve">Playground - </w:t>
            </w:r>
            <w:r w:rsidRPr="00B13F3B">
              <w:rPr>
                <w:rFonts w:ascii="Arial" w:eastAsia="Times New Roman" w:hAnsi="Arial" w:cs="Arial"/>
                <w:color w:val="000000"/>
                <w:lang w:eastAsia="en-GB"/>
              </w:rPr>
              <w:t>Ryden</w:t>
            </w:r>
            <w:r w:rsidRPr="00B13F3B">
              <w:rPr>
                <w:rFonts w:ascii="Arial" w:eastAsia="Times New Roman" w:hAnsi="Arial" w:cs="Arial"/>
                <w:color w:val="000000"/>
                <w:lang w:eastAsia="en-GB"/>
              </w:rPr>
              <w:t xml:space="preserve"> Avenue</w:t>
            </w:r>
          </w:p>
        </w:tc>
        <w:tc>
          <w:tcPr>
            <w:tcW w:w="1440" w:type="dxa"/>
            <w:tcBorders>
              <w:top w:val="nil"/>
              <w:left w:val="nil"/>
              <w:bottom w:val="single" w:sz="4" w:space="0" w:color="BFBFBF"/>
              <w:right w:val="single" w:sz="4" w:space="0" w:color="BFBFBF"/>
            </w:tcBorders>
            <w:shd w:val="clear" w:color="auto" w:fill="auto"/>
            <w:noWrap/>
            <w:vAlign w:val="center"/>
            <w:hideMark/>
          </w:tcPr>
          <w:p w:rsidR="00B13F3B" w:rsidRPr="00B12E80" w:rsidP="00B13F3B">
            <w:pPr>
              <w:rPr>
                <w:rFonts w:ascii="Arial" w:eastAsia="Times New Roman" w:hAnsi="Arial" w:cs="Arial"/>
                <w:color w:val="000000"/>
                <w:lang w:eastAsia="en-GB"/>
              </w:rPr>
            </w:pPr>
            <w:r w:rsidRPr="00B12E80">
              <w:rPr>
                <w:rFonts w:ascii="Arial" w:eastAsia="Times New Roman" w:hAnsi="Arial" w:cs="Arial"/>
                <w:color w:val="000000"/>
                <w:lang w:eastAsia="en-GB"/>
              </w:rPr>
              <w:t> </w:t>
            </w:r>
          </w:p>
        </w:tc>
        <w:tc>
          <w:tcPr>
            <w:tcW w:w="1440" w:type="dxa"/>
            <w:tcBorders>
              <w:top w:val="nil"/>
              <w:left w:val="nil"/>
              <w:bottom w:val="single" w:sz="4" w:space="0" w:color="BFBFBF"/>
              <w:right w:val="single" w:sz="4" w:space="0" w:color="BFBFBF"/>
            </w:tcBorders>
            <w:shd w:val="clear" w:color="auto" w:fill="auto"/>
            <w:noWrap/>
            <w:vAlign w:val="center"/>
            <w:hideMark/>
          </w:tcPr>
          <w:p w:rsidR="00B13F3B" w:rsidRPr="00A33A47" w:rsidP="00B13F3B">
            <w:pPr>
              <w:jc w:val="right"/>
              <w:rPr>
                <w:rFonts w:ascii="Arial" w:eastAsia="Times New Roman" w:hAnsi="Arial" w:cs="Arial"/>
                <w:color w:val="000000"/>
                <w:lang w:eastAsia="en-GB"/>
              </w:rPr>
            </w:pPr>
            <w:r w:rsidRPr="00A33A47">
              <w:rPr>
                <w:rFonts w:ascii="Arial" w:eastAsia="Times New Roman" w:hAnsi="Arial" w:cs="Arial"/>
                <w:color w:val="000000"/>
                <w:lang w:eastAsia="en-GB"/>
              </w:rPr>
              <w:t xml:space="preserve">70 </w:t>
            </w:r>
          </w:p>
        </w:tc>
        <w:tc>
          <w:tcPr>
            <w:tcW w:w="1540" w:type="dxa"/>
            <w:tcBorders>
              <w:top w:val="nil"/>
              <w:left w:val="nil"/>
              <w:bottom w:val="single" w:sz="4" w:space="0" w:color="BFBFBF"/>
              <w:right w:val="single" w:sz="4" w:space="0" w:color="BFBFBF"/>
            </w:tcBorders>
            <w:shd w:val="clear" w:color="auto" w:fill="auto"/>
            <w:vAlign w:val="center"/>
            <w:hideMark/>
          </w:tcPr>
          <w:p w:rsidR="00B13F3B" w:rsidRPr="00B13F3B" w:rsidP="00B13F3B">
            <w:pPr>
              <w:jc w:val="center"/>
              <w:rPr>
                <w:rFonts w:ascii="Arial" w:eastAsia="Times New Roman" w:hAnsi="Arial" w:cs="Arial"/>
                <w:color w:val="000000"/>
                <w:lang w:eastAsia="en-GB"/>
              </w:rPr>
            </w:pPr>
            <w:r w:rsidRPr="00B13F3B">
              <w:rPr>
                <w:rFonts w:ascii="Arial" w:eastAsia="Times New Roman" w:hAnsi="Arial" w:cs="Arial"/>
                <w:color w:val="000000"/>
                <w:lang w:eastAsia="en-GB"/>
              </w:rPr>
              <w:t>Council</w:t>
            </w:r>
          </w:p>
        </w:tc>
        <w:tc>
          <w:tcPr>
            <w:tcW w:w="1243" w:type="dxa"/>
            <w:tcBorders>
              <w:top w:val="nil"/>
              <w:left w:val="nil"/>
              <w:bottom w:val="single" w:sz="4" w:space="0" w:color="BFBFBF"/>
              <w:right w:val="single" w:sz="4" w:space="0" w:color="auto"/>
            </w:tcBorders>
            <w:shd w:val="clear" w:color="auto" w:fill="auto"/>
            <w:vAlign w:val="center"/>
            <w:hideMark/>
          </w:tcPr>
          <w:p w:rsidR="00B13F3B" w:rsidRPr="00B13F3B" w:rsidP="00B13F3B">
            <w:pPr>
              <w:jc w:val="center"/>
              <w:rPr>
                <w:rFonts w:ascii="Arial" w:eastAsia="Times New Roman" w:hAnsi="Arial" w:cs="Arial"/>
                <w:color w:val="000000"/>
                <w:lang w:eastAsia="en-GB"/>
              </w:rPr>
            </w:pPr>
            <w:r w:rsidRPr="00B13F3B">
              <w:rPr>
                <w:rFonts w:ascii="Arial" w:eastAsia="Times New Roman" w:hAnsi="Arial" w:cs="Arial"/>
                <w:color w:val="000000"/>
                <w:lang w:eastAsia="en-GB"/>
              </w:rPr>
              <w:t>23/02/22</w:t>
            </w:r>
          </w:p>
        </w:tc>
      </w:tr>
      <w:tr w:rsidTr="009B1202">
        <w:tblPrEx>
          <w:tblW w:w="9423" w:type="dxa"/>
          <w:tblLook w:val="04A0"/>
        </w:tblPrEx>
        <w:trPr>
          <w:trHeight w:val="285"/>
        </w:trPr>
        <w:tc>
          <w:tcPr>
            <w:tcW w:w="3760" w:type="dxa"/>
            <w:tcBorders>
              <w:top w:val="nil"/>
              <w:left w:val="single" w:sz="4" w:space="0" w:color="auto"/>
              <w:bottom w:val="single" w:sz="4" w:space="0" w:color="BFBFBF"/>
              <w:right w:val="single" w:sz="4" w:space="0" w:color="BFBFBF"/>
            </w:tcBorders>
            <w:shd w:val="clear" w:color="auto" w:fill="auto"/>
            <w:vAlign w:val="center"/>
            <w:hideMark/>
          </w:tcPr>
          <w:p w:rsidR="00B13F3B" w:rsidRPr="00B13F3B" w:rsidP="00B13F3B">
            <w:pPr>
              <w:rPr>
                <w:rFonts w:ascii="Arial" w:eastAsia="Times New Roman" w:hAnsi="Arial" w:cs="Arial"/>
                <w:color w:val="000000"/>
                <w:lang w:eastAsia="en-GB"/>
              </w:rPr>
            </w:pPr>
            <w:r w:rsidRPr="00B13F3B">
              <w:rPr>
                <w:rFonts w:ascii="Arial" w:eastAsia="Times New Roman" w:hAnsi="Arial" w:cs="Arial"/>
                <w:color w:val="000000"/>
                <w:lang w:eastAsia="en-GB"/>
              </w:rPr>
              <w:t>Playground - Hutton</w:t>
            </w:r>
          </w:p>
        </w:tc>
        <w:tc>
          <w:tcPr>
            <w:tcW w:w="1440" w:type="dxa"/>
            <w:tcBorders>
              <w:top w:val="nil"/>
              <w:left w:val="nil"/>
              <w:bottom w:val="single" w:sz="4" w:space="0" w:color="BFBFBF"/>
              <w:right w:val="single" w:sz="4" w:space="0" w:color="BFBFBF"/>
            </w:tcBorders>
            <w:shd w:val="clear" w:color="auto" w:fill="auto"/>
            <w:noWrap/>
            <w:vAlign w:val="center"/>
            <w:hideMark/>
          </w:tcPr>
          <w:p w:rsidR="00B13F3B" w:rsidRPr="00B12E80" w:rsidP="00B13F3B">
            <w:pPr>
              <w:rPr>
                <w:rFonts w:ascii="Arial" w:eastAsia="Times New Roman" w:hAnsi="Arial" w:cs="Arial"/>
                <w:color w:val="000000"/>
                <w:lang w:eastAsia="en-GB"/>
              </w:rPr>
            </w:pPr>
            <w:r w:rsidRPr="00B12E80">
              <w:rPr>
                <w:rFonts w:ascii="Arial" w:eastAsia="Times New Roman" w:hAnsi="Arial" w:cs="Arial"/>
                <w:color w:val="000000"/>
                <w:lang w:eastAsia="en-GB"/>
              </w:rPr>
              <w:t> </w:t>
            </w:r>
          </w:p>
        </w:tc>
        <w:tc>
          <w:tcPr>
            <w:tcW w:w="1440" w:type="dxa"/>
            <w:tcBorders>
              <w:top w:val="nil"/>
              <w:left w:val="nil"/>
              <w:bottom w:val="single" w:sz="4" w:space="0" w:color="BFBFBF"/>
              <w:right w:val="single" w:sz="4" w:space="0" w:color="BFBFBF"/>
            </w:tcBorders>
            <w:shd w:val="clear" w:color="auto" w:fill="auto"/>
            <w:noWrap/>
            <w:vAlign w:val="center"/>
            <w:hideMark/>
          </w:tcPr>
          <w:p w:rsidR="00B13F3B" w:rsidRPr="00A33A47" w:rsidP="00B13F3B">
            <w:pPr>
              <w:jc w:val="right"/>
              <w:rPr>
                <w:rFonts w:ascii="Arial" w:eastAsia="Times New Roman" w:hAnsi="Arial" w:cs="Arial"/>
                <w:color w:val="000000"/>
                <w:lang w:eastAsia="en-GB"/>
              </w:rPr>
            </w:pPr>
            <w:r w:rsidRPr="00A33A47">
              <w:rPr>
                <w:rFonts w:ascii="Arial" w:eastAsia="Times New Roman" w:hAnsi="Arial" w:cs="Arial"/>
                <w:color w:val="000000"/>
                <w:lang w:eastAsia="en-GB"/>
              </w:rPr>
              <w:t xml:space="preserve">95 </w:t>
            </w:r>
          </w:p>
        </w:tc>
        <w:tc>
          <w:tcPr>
            <w:tcW w:w="1540" w:type="dxa"/>
            <w:tcBorders>
              <w:top w:val="nil"/>
              <w:left w:val="nil"/>
              <w:bottom w:val="single" w:sz="4" w:space="0" w:color="BFBFBF"/>
              <w:right w:val="single" w:sz="4" w:space="0" w:color="BFBFBF"/>
            </w:tcBorders>
            <w:shd w:val="clear" w:color="auto" w:fill="auto"/>
            <w:vAlign w:val="center"/>
            <w:hideMark/>
          </w:tcPr>
          <w:p w:rsidR="00B13F3B" w:rsidRPr="00B13F3B" w:rsidP="00B13F3B">
            <w:pPr>
              <w:jc w:val="center"/>
              <w:rPr>
                <w:rFonts w:ascii="Arial" w:eastAsia="Times New Roman" w:hAnsi="Arial" w:cs="Arial"/>
                <w:color w:val="000000"/>
                <w:lang w:eastAsia="en-GB"/>
              </w:rPr>
            </w:pPr>
            <w:r w:rsidRPr="00B13F3B">
              <w:rPr>
                <w:rFonts w:ascii="Arial" w:eastAsia="Times New Roman" w:hAnsi="Arial" w:cs="Arial"/>
                <w:color w:val="000000"/>
                <w:lang w:eastAsia="en-GB"/>
              </w:rPr>
              <w:t>Council</w:t>
            </w:r>
          </w:p>
        </w:tc>
        <w:tc>
          <w:tcPr>
            <w:tcW w:w="1243" w:type="dxa"/>
            <w:tcBorders>
              <w:top w:val="nil"/>
              <w:left w:val="nil"/>
              <w:bottom w:val="single" w:sz="4" w:space="0" w:color="BFBFBF"/>
              <w:right w:val="single" w:sz="4" w:space="0" w:color="auto"/>
            </w:tcBorders>
            <w:shd w:val="clear" w:color="auto" w:fill="auto"/>
            <w:vAlign w:val="center"/>
            <w:hideMark/>
          </w:tcPr>
          <w:p w:rsidR="00B13F3B" w:rsidRPr="00B13F3B" w:rsidP="00B13F3B">
            <w:pPr>
              <w:jc w:val="center"/>
              <w:rPr>
                <w:rFonts w:ascii="Arial" w:eastAsia="Times New Roman" w:hAnsi="Arial" w:cs="Arial"/>
                <w:color w:val="000000"/>
                <w:lang w:eastAsia="en-GB"/>
              </w:rPr>
            </w:pPr>
            <w:r w:rsidRPr="00B13F3B">
              <w:rPr>
                <w:rFonts w:ascii="Arial" w:eastAsia="Times New Roman" w:hAnsi="Arial" w:cs="Arial"/>
                <w:color w:val="000000"/>
                <w:lang w:eastAsia="en-GB"/>
              </w:rPr>
              <w:t>23/02/22</w:t>
            </w:r>
          </w:p>
        </w:tc>
      </w:tr>
      <w:tr w:rsidTr="009B1202">
        <w:tblPrEx>
          <w:tblW w:w="9423" w:type="dxa"/>
          <w:tblLook w:val="04A0"/>
        </w:tblPrEx>
        <w:trPr>
          <w:trHeight w:val="285"/>
        </w:trPr>
        <w:tc>
          <w:tcPr>
            <w:tcW w:w="3760" w:type="dxa"/>
            <w:tcBorders>
              <w:top w:val="nil"/>
              <w:left w:val="single" w:sz="4" w:space="0" w:color="auto"/>
              <w:bottom w:val="single" w:sz="4" w:space="0" w:color="BFBFBF"/>
              <w:right w:val="single" w:sz="4" w:space="0" w:color="BFBFBF"/>
            </w:tcBorders>
            <w:shd w:val="clear" w:color="auto" w:fill="auto"/>
            <w:vAlign w:val="center"/>
            <w:hideMark/>
          </w:tcPr>
          <w:p w:rsidR="00B13F3B" w:rsidRPr="00B13F3B" w:rsidP="00B13F3B">
            <w:pPr>
              <w:rPr>
                <w:rFonts w:ascii="Arial" w:eastAsia="Times New Roman" w:hAnsi="Arial" w:cs="Arial"/>
                <w:color w:val="000000"/>
                <w:lang w:eastAsia="en-GB"/>
              </w:rPr>
            </w:pPr>
            <w:r w:rsidRPr="00B13F3B">
              <w:rPr>
                <w:rFonts w:ascii="Arial" w:eastAsia="Times New Roman" w:hAnsi="Arial" w:cs="Arial"/>
                <w:color w:val="000000"/>
                <w:lang w:eastAsia="en-GB"/>
              </w:rPr>
              <w:t>Playground - Longton</w:t>
            </w:r>
          </w:p>
        </w:tc>
        <w:tc>
          <w:tcPr>
            <w:tcW w:w="1440" w:type="dxa"/>
            <w:tcBorders>
              <w:top w:val="nil"/>
              <w:left w:val="nil"/>
              <w:bottom w:val="single" w:sz="4" w:space="0" w:color="BFBFBF"/>
              <w:right w:val="single" w:sz="4" w:space="0" w:color="BFBFBF"/>
            </w:tcBorders>
            <w:shd w:val="clear" w:color="auto" w:fill="auto"/>
            <w:noWrap/>
            <w:vAlign w:val="center"/>
            <w:hideMark/>
          </w:tcPr>
          <w:p w:rsidR="00B13F3B" w:rsidRPr="00B12E80" w:rsidP="00B13F3B">
            <w:pPr>
              <w:rPr>
                <w:rFonts w:ascii="Arial" w:eastAsia="Times New Roman" w:hAnsi="Arial" w:cs="Arial"/>
                <w:color w:val="000000"/>
                <w:lang w:eastAsia="en-GB"/>
              </w:rPr>
            </w:pPr>
            <w:r w:rsidRPr="00B12E80">
              <w:rPr>
                <w:rFonts w:ascii="Arial" w:eastAsia="Times New Roman" w:hAnsi="Arial" w:cs="Arial"/>
                <w:color w:val="000000"/>
                <w:lang w:eastAsia="en-GB"/>
              </w:rPr>
              <w:t> </w:t>
            </w:r>
          </w:p>
        </w:tc>
        <w:tc>
          <w:tcPr>
            <w:tcW w:w="1440" w:type="dxa"/>
            <w:tcBorders>
              <w:top w:val="nil"/>
              <w:left w:val="nil"/>
              <w:bottom w:val="single" w:sz="4" w:space="0" w:color="BFBFBF"/>
              <w:right w:val="single" w:sz="4" w:space="0" w:color="BFBFBF"/>
            </w:tcBorders>
            <w:shd w:val="clear" w:color="auto" w:fill="auto"/>
            <w:noWrap/>
            <w:vAlign w:val="center"/>
            <w:hideMark/>
          </w:tcPr>
          <w:p w:rsidR="00B13F3B" w:rsidRPr="00A33A47" w:rsidP="00B13F3B">
            <w:pPr>
              <w:jc w:val="right"/>
              <w:rPr>
                <w:rFonts w:ascii="Arial" w:eastAsia="Times New Roman" w:hAnsi="Arial" w:cs="Arial"/>
                <w:color w:val="000000"/>
                <w:lang w:eastAsia="en-GB"/>
              </w:rPr>
            </w:pPr>
            <w:r w:rsidRPr="00A33A47">
              <w:rPr>
                <w:rFonts w:ascii="Arial" w:eastAsia="Times New Roman" w:hAnsi="Arial" w:cs="Arial"/>
                <w:color w:val="000000"/>
                <w:lang w:eastAsia="en-GB"/>
              </w:rPr>
              <w:t xml:space="preserve">120 </w:t>
            </w:r>
          </w:p>
        </w:tc>
        <w:tc>
          <w:tcPr>
            <w:tcW w:w="1540" w:type="dxa"/>
            <w:tcBorders>
              <w:top w:val="nil"/>
              <w:left w:val="nil"/>
              <w:bottom w:val="single" w:sz="4" w:space="0" w:color="BFBFBF"/>
              <w:right w:val="single" w:sz="4" w:space="0" w:color="BFBFBF"/>
            </w:tcBorders>
            <w:shd w:val="clear" w:color="auto" w:fill="auto"/>
            <w:vAlign w:val="center"/>
            <w:hideMark/>
          </w:tcPr>
          <w:p w:rsidR="00B13F3B" w:rsidRPr="00B13F3B" w:rsidP="00B13F3B">
            <w:pPr>
              <w:jc w:val="center"/>
              <w:rPr>
                <w:rFonts w:ascii="Arial" w:eastAsia="Times New Roman" w:hAnsi="Arial" w:cs="Arial"/>
                <w:color w:val="000000"/>
                <w:lang w:eastAsia="en-GB"/>
              </w:rPr>
            </w:pPr>
            <w:r w:rsidRPr="00B13F3B">
              <w:rPr>
                <w:rFonts w:ascii="Arial" w:eastAsia="Times New Roman" w:hAnsi="Arial" w:cs="Arial"/>
                <w:color w:val="000000"/>
                <w:lang w:eastAsia="en-GB"/>
              </w:rPr>
              <w:t>Council</w:t>
            </w:r>
          </w:p>
        </w:tc>
        <w:tc>
          <w:tcPr>
            <w:tcW w:w="1243" w:type="dxa"/>
            <w:tcBorders>
              <w:top w:val="nil"/>
              <w:left w:val="nil"/>
              <w:bottom w:val="single" w:sz="4" w:space="0" w:color="BFBFBF"/>
              <w:right w:val="single" w:sz="4" w:space="0" w:color="auto"/>
            </w:tcBorders>
            <w:shd w:val="clear" w:color="auto" w:fill="auto"/>
            <w:vAlign w:val="center"/>
            <w:hideMark/>
          </w:tcPr>
          <w:p w:rsidR="00B13F3B" w:rsidRPr="00B13F3B" w:rsidP="00B13F3B">
            <w:pPr>
              <w:jc w:val="center"/>
              <w:rPr>
                <w:rFonts w:ascii="Arial" w:eastAsia="Times New Roman" w:hAnsi="Arial" w:cs="Arial"/>
                <w:color w:val="000000"/>
                <w:lang w:eastAsia="en-GB"/>
              </w:rPr>
            </w:pPr>
            <w:r w:rsidRPr="00B13F3B">
              <w:rPr>
                <w:rFonts w:ascii="Arial" w:eastAsia="Times New Roman" w:hAnsi="Arial" w:cs="Arial"/>
                <w:color w:val="000000"/>
                <w:lang w:eastAsia="en-GB"/>
              </w:rPr>
              <w:t>23/02/22</w:t>
            </w:r>
          </w:p>
        </w:tc>
      </w:tr>
      <w:tr w:rsidTr="009B1202">
        <w:tblPrEx>
          <w:tblW w:w="9423" w:type="dxa"/>
          <w:tblLook w:val="04A0"/>
        </w:tblPrEx>
        <w:trPr>
          <w:trHeight w:val="285"/>
        </w:trPr>
        <w:tc>
          <w:tcPr>
            <w:tcW w:w="3760" w:type="dxa"/>
            <w:tcBorders>
              <w:top w:val="nil"/>
              <w:left w:val="single" w:sz="4" w:space="0" w:color="auto"/>
              <w:bottom w:val="single" w:sz="4" w:space="0" w:color="BFBFBF"/>
              <w:right w:val="single" w:sz="4" w:space="0" w:color="BFBFBF"/>
            </w:tcBorders>
            <w:shd w:val="clear" w:color="auto" w:fill="auto"/>
            <w:vAlign w:val="center"/>
            <w:hideMark/>
          </w:tcPr>
          <w:p w:rsidR="00B13F3B" w:rsidRPr="00B13F3B" w:rsidP="00B13F3B">
            <w:pPr>
              <w:rPr>
                <w:rFonts w:ascii="Arial" w:eastAsia="Times New Roman" w:hAnsi="Arial" w:cs="Arial"/>
                <w:color w:val="000000"/>
                <w:lang w:eastAsia="en-GB"/>
              </w:rPr>
            </w:pPr>
            <w:r w:rsidRPr="00B13F3B">
              <w:rPr>
                <w:rFonts w:ascii="Arial" w:eastAsia="Times New Roman" w:hAnsi="Arial" w:cs="Arial"/>
                <w:color w:val="000000"/>
                <w:lang w:eastAsia="en-GB"/>
              </w:rPr>
              <w:t xml:space="preserve">Playground - King George V, </w:t>
            </w:r>
            <w:r w:rsidRPr="00B13F3B">
              <w:rPr>
                <w:rFonts w:ascii="Arial" w:eastAsia="Times New Roman" w:hAnsi="Arial" w:cs="Arial"/>
                <w:color w:val="000000"/>
                <w:lang w:eastAsia="en-GB"/>
              </w:rPr>
              <w:t>Penw</w:t>
            </w:r>
          </w:p>
        </w:tc>
        <w:tc>
          <w:tcPr>
            <w:tcW w:w="1440" w:type="dxa"/>
            <w:tcBorders>
              <w:top w:val="nil"/>
              <w:left w:val="nil"/>
              <w:bottom w:val="single" w:sz="4" w:space="0" w:color="BFBFBF"/>
              <w:right w:val="single" w:sz="4" w:space="0" w:color="BFBFBF"/>
            </w:tcBorders>
            <w:shd w:val="clear" w:color="auto" w:fill="auto"/>
            <w:noWrap/>
            <w:vAlign w:val="center"/>
            <w:hideMark/>
          </w:tcPr>
          <w:p w:rsidR="00B13F3B" w:rsidRPr="00B12E80" w:rsidP="00B13F3B">
            <w:pPr>
              <w:rPr>
                <w:rFonts w:ascii="Arial" w:eastAsia="Times New Roman" w:hAnsi="Arial" w:cs="Arial"/>
                <w:color w:val="000000"/>
                <w:lang w:eastAsia="en-GB"/>
              </w:rPr>
            </w:pPr>
            <w:r w:rsidRPr="00B12E80">
              <w:rPr>
                <w:rFonts w:ascii="Arial" w:eastAsia="Times New Roman" w:hAnsi="Arial" w:cs="Arial"/>
                <w:color w:val="000000"/>
                <w:lang w:eastAsia="en-GB"/>
              </w:rPr>
              <w:t> </w:t>
            </w:r>
          </w:p>
        </w:tc>
        <w:tc>
          <w:tcPr>
            <w:tcW w:w="1440" w:type="dxa"/>
            <w:tcBorders>
              <w:top w:val="nil"/>
              <w:left w:val="nil"/>
              <w:bottom w:val="single" w:sz="4" w:space="0" w:color="BFBFBF"/>
              <w:right w:val="single" w:sz="4" w:space="0" w:color="BFBFBF"/>
            </w:tcBorders>
            <w:shd w:val="clear" w:color="auto" w:fill="auto"/>
            <w:noWrap/>
            <w:vAlign w:val="center"/>
            <w:hideMark/>
          </w:tcPr>
          <w:p w:rsidR="00B13F3B" w:rsidRPr="00A33A47" w:rsidP="00B13F3B">
            <w:pPr>
              <w:jc w:val="right"/>
              <w:rPr>
                <w:rFonts w:ascii="Arial" w:eastAsia="Times New Roman" w:hAnsi="Arial" w:cs="Arial"/>
                <w:color w:val="000000"/>
                <w:lang w:eastAsia="en-GB"/>
              </w:rPr>
            </w:pPr>
            <w:r w:rsidRPr="00A33A47">
              <w:rPr>
                <w:rFonts w:ascii="Arial" w:eastAsia="Times New Roman" w:hAnsi="Arial" w:cs="Arial"/>
                <w:color w:val="000000"/>
                <w:lang w:eastAsia="en-GB"/>
              </w:rPr>
              <w:t xml:space="preserve">90 </w:t>
            </w:r>
          </w:p>
        </w:tc>
        <w:tc>
          <w:tcPr>
            <w:tcW w:w="1540" w:type="dxa"/>
            <w:tcBorders>
              <w:top w:val="nil"/>
              <w:left w:val="nil"/>
              <w:bottom w:val="single" w:sz="4" w:space="0" w:color="BFBFBF"/>
              <w:right w:val="single" w:sz="4" w:space="0" w:color="BFBFBF"/>
            </w:tcBorders>
            <w:shd w:val="clear" w:color="auto" w:fill="auto"/>
            <w:vAlign w:val="center"/>
            <w:hideMark/>
          </w:tcPr>
          <w:p w:rsidR="00B13F3B" w:rsidRPr="00B13F3B" w:rsidP="00B13F3B">
            <w:pPr>
              <w:jc w:val="center"/>
              <w:rPr>
                <w:rFonts w:ascii="Arial" w:eastAsia="Times New Roman" w:hAnsi="Arial" w:cs="Arial"/>
                <w:color w:val="000000"/>
                <w:lang w:eastAsia="en-GB"/>
              </w:rPr>
            </w:pPr>
            <w:r w:rsidRPr="00B13F3B">
              <w:rPr>
                <w:rFonts w:ascii="Arial" w:eastAsia="Times New Roman" w:hAnsi="Arial" w:cs="Arial"/>
                <w:color w:val="000000"/>
                <w:lang w:eastAsia="en-GB"/>
              </w:rPr>
              <w:t>Council</w:t>
            </w:r>
          </w:p>
        </w:tc>
        <w:tc>
          <w:tcPr>
            <w:tcW w:w="1243" w:type="dxa"/>
            <w:tcBorders>
              <w:top w:val="nil"/>
              <w:left w:val="nil"/>
              <w:bottom w:val="single" w:sz="4" w:space="0" w:color="BFBFBF"/>
              <w:right w:val="single" w:sz="4" w:space="0" w:color="auto"/>
            </w:tcBorders>
            <w:shd w:val="clear" w:color="auto" w:fill="auto"/>
            <w:vAlign w:val="center"/>
            <w:hideMark/>
          </w:tcPr>
          <w:p w:rsidR="00B13F3B" w:rsidRPr="00B13F3B" w:rsidP="00B13F3B">
            <w:pPr>
              <w:jc w:val="center"/>
              <w:rPr>
                <w:rFonts w:ascii="Arial" w:eastAsia="Times New Roman" w:hAnsi="Arial" w:cs="Arial"/>
                <w:color w:val="000000"/>
                <w:lang w:eastAsia="en-GB"/>
              </w:rPr>
            </w:pPr>
            <w:r w:rsidRPr="00B13F3B">
              <w:rPr>
                <w:rFonts w:ascii="Arial" w:eastAsia="Times New Roman" w:hAnsi="Arial" w:cs="Arial"/>
                <w:color w:val="000000"/>
                <w:lang w:eastAsia="en-GB"/>
              </w:rPr>
              <w:t>23/02/22</w:t>
            </w:r>
          </w:p>
        </w:tc>
      </w:tr>
      <w:tr w:rsidTr="009B1202">
        <w:tblPrEx>
          <w:tblW w:w="9423" w:type="dxa"/>
          <w:tblLook w:val="04A0"/>
        </w:tblPrEx>
        <w:trPr>
          <w:trHeight w:val="285"/>
        </w:trPr>
        <w:tc>
          <w:tcPr>
            <w:tcW w:w="3760" w:type="dxa"/>
            <w:tcBorders>
              <w:top w:val="nil"/>
              <w:left w:val="single" w:sz="4" w:space="0" w:color="auto"/>
              <w:bottom w:val="single" w:sz="4" w:space="0" w:color="BFBFBF"/>
              <w:right w:val="single" w:sz="4" w:space="0" w:color="BFBFBF"/>
            </w:tcBorders>
            <w:shd w:val="clear" w:color="auto" w:fill="auto"/>
            <w:vAlign w:val="center"/>
            <w:hideMark/>
          </w:tcPr>
          <w:p w:rsidR="00B13F3B" w:rsidRPr="00B13F3B" w:rsidP="00B13F3B">
            <w:pPr>
              <w:rPr>
                <w:rFonts w:ascii="Arial" w:eastAsia="Times New Roman" w:hAnsi="Arial" w:cs="Arial"/>
                <w:color w:val="000000"/>
                <w:lang w:eastAsia="en-GB"/>
              </w:rPr>
            </w:pPr>
            <w:r w:rsidRPr="00B13F3B">
              <w:rPr>
                <w:rFonts w:ascii="Arial" w:eastAsia="Times New Roman" w:hAnsi="Arial" w:cs="Arial"/>
                <w:color w:val="000000"/>
                <w:lang w:eastAsia="en-GB"/>
              </w:rPr>
              <w:t>Playground - New Longton</w:t>
            </w:r>
          </w:p>
        </w:tc>
        <w:tc>
          <w:tcPr>
            <w:tcW w:w="1440" w:type="dxa"/>
            <w:tcBorders>
              <w:top w:val="nil"/>
              <w:left w:val="nil"/>
              <w:bottom w:val="single" w:sz="4" w:space="0" w:color="BFBFBF"/>
              <w:right w:val="single" w:sz="4" w:space="0" w:color="BFBFBF"/>
            </w:tcBorders>
            <w:shd w:val="clear" w:color="auto" w:fill="auto"/>
            <w:noWrap/>
            <w:vAlign w:val="center"/>
            <w:hideMark/>
          </w:tcPr>
          <w:p w:rsidR="00B13F3B" w:rsidRPr="00B12E80" w:rsidP="00B13F3B">
            <w:pPr>
              <w:rPr>
                <w:rFonts w:ascii="Arial" w:eastAsia="Times New Roman" w:hAnsi="Arial" w:cs="Arial"/>
                <w:color w:val="000000"/>
                <w:lang w:eastAsia="en-GB"/>
              </w:rPr>
            </w:pPr>
            <w:r w:rsidRPr="00B12E80">
              <w:rPr>
                <w:rFonts w:ascii="Arial" w:eastAsia="Times New Roman" w:hAnsi="Arial" w:cs="Arial"/>
                <w:color w:val="000000"/>
                <w:lang w:eastAsia="en-GB"/>
              </w:rPr>
              <w:t> </w:t>
            </w:r>
          </w:p>
        </w:tc>
        <w:tc>
          <w:tcPr>
            <w:tcW w:w="1440" w:type="dxa"/>
            <w:tcBorders>
              <w:top w:val="nil"/>
              <w:left w:val="nil"/>
              <w:bottom w:val="single" w:sz="4" w:space="0" w:color="BFBFBF"/>
              <w:right w:val="single" w:sz="4" w:space="0" w:color="BFBFBF"/>
            </w:tcBorders>
            <w:shd w:val="clear" w:color="auto" w:fill="auto"/>
            <w:noWrap/>
            <w:vAlign w:val="center"/>
            <w:hideMark/>
          </w:tcPr>
          <w:p w:rsidR="00B13F3B" w:rsidRPr="00A33A47" w:rsidP="00B13F3B">
            <w:pPr>
              <w:jc w:val="right"/>
              <w:rPr>
                <w:rFonts w:ascii="Arial" w:eastAsia="Times New Roman" w:hAnsi="Arial" w:cs="Arial"/>
                <w:color w:val="000000"/>
                <w:lang w:eastAsia="en-GB"/>
              </w:rPr>
            </w:pPr>
            <w:r w:rsidRPr="00A33A47">
              <w:rPr>
                <w:rFonts w:ascii="Arial" w:eastAsia="Times New Roman" w:hAnsi="Arial" w:cs="Arial"/>
                <w:color w:val="000000"/>
                <w:lang w:eastAsia="en-GB"/>
              </w:rPr>
              <w:t xml:space="preserve">135 </w:t>
            </w:r>
          </w:p>
        </w:tc>
        <w:tc>
          <w:tcPr>
            <w:tcW w:w="1540" w:type="dxa"/>
            <w:tcBorders>
              <w:top w:val="nil"/>
              <w:left w:val="nil"/>
              <w:bottom w:val="single" w:sz="4" w:space="0" w:color="BFBFBF"/>
              <w:right w:val="single" w:sz="4" w:space="0" w:color="BFBFBF"/>
            </w:tcBorders>
            <w:shd w:val="clear" w:color="auto" w:fill="auto"/>
            <w:vAlign w:val="center"/>
            <w:hideMark/>
          </w:tcPr>
          <w:p w:rsidR="00B13F3B" w:rsidRPr="00B13F3B" w:rsidP="00B13F3B">
            <w:pPr>
              <w:jc w:val="center"/>
              <w:rPr>
                <w:rFonts w:ascii="Arial" w:eastAsia="Times New Roman" w:hAnsi="Arial" w:cs="Arial"/>
                <w:color w:val="000000"/>
                <w:lang w:eastAsia="en-GB"/>
              </w:rPr>
            </w:pPr>
            <w:r w:rsidRPr="00B13F3B">
              <w:rPr>
                <w:rFonts w:ascii="Arial" w:eastAsia="Times New Roman" w:hAnsi="Arial" w:cs="Arial"/>
                <w:color w:val="000000"/>
                <w:lang w:eastAsia="en-GB"/>
              </w:rPr>
              <w:t>Council</w:t>
            </w:r>
          </w:p>
        </w:tc>
        <w:tc>
          <w:tcPr>
            <w:tcW w:w="1243" w:type="dxa"/>
            <w:tcBorders>
              <w:top w:val="nil"/>
              <w:left w:val="nil"/>
              <w:bottom w:val="single" w:sz="4" w:space="0" w:color="BFBFBF"/>
              <w:right w:val="single" w:sz="4" w:space="0" w:color="auto"/>
            </w:tcBorders>
            <w:shd w:val="clear" w:color="auto" w:fill="auto"/>
            <w:vAlign w:val="center"/>
            <w:hideMark/>
          </w:tcPr>
          <w:p w:rsidR="00B13F3B" w:rsidRPr="00B13F3B" w:rsidP="00B13F3B">
            <w:pPr>
              <w:jc w:val="center"/>
              <w:rPr>
                <w:rFonts w:ascii="Arial" w:eastAsia="Times New Roman" w:hAnsi="Arial" w:cs="Arial"/>
                <w:color w:val="000000"/>
                <w:lang w:eastAsia="en-GB"/>
              </w:rPr>
            </w:pPr>
            <w:r w:rsidRPr="00B13F3B">
              <w:rPr>
                <w:rFonts w:ascii="Arial" w:eastAsia="Times New Roman" w:hAnsi="Arial" w:cs="Arial"/>
                <w:color w:val="000000"/>
                <w:lang w:eastAsia="en-GB"/>
              </w:rPr>
              <w:t>23/02/22</w:t>
            </w:r>
          </w:p>
        </w:tc>
      </w:tr>
      <w:tr w:rsidTr="009B1202">
        <w:tblPrEx>
          <w:tblW w:w="9423" w:type="dxa"/>
          <w:tblLook w:val="04A0"/>
        </w:tblPrEx>
        <w:trPr>
          <w:trHeight w:val="570"/>
        </w:trPr>
        <w:tc>
          <w:tcPr>
            <w:tcW w:w="3760" w:type="dxa"/>
            <w:tcBorders>
              <w:top w:val="nil"/>
              <w:left w:val="single" w:sz="4" w:space="0" w:color="auto"/>
              <w:bottom w:val="single" w:sz="4" w:space="0" w:color="BFBFBF"/>
              <w:right w:val="single" w:sz="4" w:space="0" w:color="BFBFBF"/>
            </w:tcBorders>
            <w:shd w:val="clear" w:color="auto" w:fill="auto"/>
            <w:vAlign w:val="center"/>
            <w:hideMark/>
          </w:tcPr>
          <w:p w:rsidR="00B13F3B" w:rsidRPr="00B13F3B" w:rsidP="00B13F3B">
            <w:pPr>
              <w:rPr>
                <w:rFonts w:ascii="Arial" w:eastAsia="Times New Roman" w:hAnsi="Arial" w:cs="Arial"/>
                <w:color w:val="000000"/>
                <w:lang w:eastAsia="en-GB"/>
              </w:rPr>
            </w:pPr>
            <w:r w:rsidRPr="00B13F3B">
              <w:rPr>
                <w:rFonts w:ascii="Arial" w:eastAsia="Times New Roman" w:hAnsi="Arial" w:cs="Arial"/>
                <w:color w:val="000000"/>
                <w:lang w:eastAsia="en-GB"/>
              </w:rPr>
              <w:t>Lighting upgrade to LED - Tardy Gate Playground &amp; 3 other sites</w:t>
            </w:r>
          </w:p>
        </w:tc>
        <w:tc>
          <w:tcPr>
            <w:tcW w:w="1440" w:type="dxa"/>
            <w:tcBorders>
              <w:top w:val="nil"/>
              <w:left w:val="nil"/>
              <w:bottom w:val="single" w:sz="4" w:space="0" w:color="BFBFBF"/>
              <w:right w:val="single" w:sz="4" w:space="0" w:color="BFBFBF"/>
            </w:tcBorders>
            <w:shd w:val="clear" w:color="auto" w:fill="auto"/>
            <w:noWrap/>
            <w:vAlign w:val="center"/>
            <w:hideMark/>
          </w:tcPr>
          <w:p w:rsidR="00B13F3B" w:rsidRPr="00B12E80" w:rsidP="00B13F3B">
            <w:pPr>
              <w:rPr>
                <w:rFonts w:ascii="Arial" w:eastAsia="Times New Roman" w:hAnsi="Arial" w:cs="Arial"/>
                <w:color w:val="000000"/>
                <w:lang w:eastAsia="en-GB"/>
              </w:rPr>
            </w:pPr>
            <w:r w:rsidRPr="00B12E80">
              <w:rPr>
                <w:rFonts w:ascii="Arial" w:eastAsia="Times New Roman" w:hAnsi="Arial" w:cs="Arial"/>
                <w:color w:val="000000"/>
                <w:lang w:eastAsia="en-GB"/>
              </w:rPr>
              <w:t> </w:t>
            </w:r>
          </w:p>
        </w:tc>
        <w:tc>
          <w:tcPr>
            <w:tcW w:w="1440" w:type="dxa"/>
            <w:tcBorders>
              <w:top w:val="nil"/>
              <w:left w:val="nil"/>
              <w:bottom w:val="single" w:sz="4" w:space="0" w:color="BFBFBF"/>
              <w:right w:val="single" w:sz="4" w:space="0" w:color="BFBFBF"/>
            </w:tcBorders>
            <w:shd w:val="clear" w:color="auto" w:fill="auto"/>
            <w:noWrap/>
            <w:vAlign w:val="center"/>
            <w:hideMark/>
          </w:tcPr>
          <w:p w:rsidR="00B13F3B" w:rsidRPr="00A33A47" w:rsidP="00B13F3B">
            <w:pPr>
              <w:jc w:val="right"/>
              <w:rPr>
                <w:rFonts w:ascii="Arial" w:eastAsia="Times New Roman" w:hAnsi="Arial" w:cs="Arial"/>
                <w:color w:val="000000"/>
                <w:lang w:eastAsia="en-GB"/>
              </w:rPr>
            </w:pPr>
            <w:r w:rsidRPr="00A33A47">
              <w:rPr>
                <w:rFonts w:ascii="Arial" w:eastAsia="Times New Roman" w:hAnsi="Arial" w:cs="Arial"/>
                <w:color w:val="000000"/>
                <w:lang w:eastAsia="en-GB"/>
              </w:rPr>
              <w:t xml:space="preserve">25 </w:t>
            </w:r>
          </w:p>
        </w:tc>
        <w:tc>
          <w:tcPr>
            <w:tcW w:w="1540" w:type="dxa"/>
            <w:tcBorders>
              <w:top w:val="nil"/>
              <w:left w:val="nil"/>
              <w:bottom w:val="single" w:sz="4" w:space="0" w:color="BFBFBF"/>
              <w:right w:val="single" w:sz="4" w:space="0" w:color="BFBFBF"/>
            </w:tcBorders>
            <w:shd w:val="clear" w:color="auto" w:fill="auto"/>
            <w:vAlign w:val="center"/>
            <w:hideMark/>
          </w:tcPr>
          <w:p w:rsidR="00B13F3B" w:rsidRPr="00B13F3B" w:rsidP="00B13F3B">
            <w:pPr>
              <w:jc w:val="center"/>
              <w:rPr>
                <w:rFonts w:ascii="Arial" w:eastAsia="Times New Roman" w:hAnsi="Arial" w:cs="Arial"/>
                <w:color w:val="000000"/>
                <w:lang w:eastAsia="en-GB"/>
              </w:rPr>
            </w:pPr>
            <w:r w:rsidRPr="00B13F3B">
              <w:rPr>
                <w:rFonts w:ascii="Arial" w:eastAsia="Times New Roman" w:hAnsi="Arial" w:cs="Arial"/>
                <w:color w:val="000000"/>
                <w:lang w:eastAsia="en-GB"/>
              </w:rPr>
              <w:t>Council</w:t>
            </w:r>
          </w:p>
        </w:tc>
        <w:tc>
          <w:tcPr>
            <w:tcW w:w="1243" w:type="dxa"/>
            <w:tcBorders>
              <w:top w:val="nil"/>
              <w:left w:val="nil"/>
              <w:bottom w:val="single" w:sz="4" w:space="0" w:color="BFBFBF"/>
              <w:right w:val="single" w:sz="4" w:space="0" w:color="auto"/>
            </w:tcBorders>
            <w:shd w:val="clear" w:color="auto" w:fill="auto"/>
            <w:vAlign w:val="center"/>
            <w:hideMark/>
          </w:tcPr>
          <w:p w:rsidR="00B13F3B" w:rsidRPr="00B13F3B" w:rsidP="00B13F3B">
            <w:pPr>
              <w:jc w:val="center"/>
              <w:rPr>
                <w:rFonts w:ascii="Arial" w:eastAsia="Times New Roman" w:hAnsi="Arial" w:cs="Arial"/>
                <w:color w:val="000000"/>
                <w:lang w:eastAsia="en-GB"/>
              </w:rPr>
            </w:pPr>
            <w:r w:rsidRPr="00B13F3B">
              <w:rPr>
                <w:rFonts w:ascii="Arial" w:eastAsia="Times New Roman" w:hAnsi="Arial" w:cs="Arial"/>
                <w:color w:val="000000"/>
                <w:lang w:eastAsia="en-GB"/>
              </w:rPr>
              <w:t>23/02/22</w:t>
            </w:r>
          </w:p>
        </w:tc>
      </w:tr>
      <w:tr w:rsidTr="009B1202">
        <w:tblPrEx>
          <w:tblW w:w="9423" w:type="dxa"/>
          <w:tblLook w:val="04A0"/>
        </w:tblPrEx>
        <w:trPr>
          <w:trHeight w:val="855"/>
        </w:trPr>
        <w:tc>
          <w:tcPr>
            <w:tcW w:w="3760" w:type="dxa"/>
            <w:tcBorders>
              <w:top w:val="nil"/>
              <w:left w:val="single" w:sz="4" w:space="0" w:color="auto"/>
              <w:bottom w:val="single" w:sz="4" w:space="0" w:color="BFBFBF"/>
              <w:right w:val="single" w:sz="4" w:space="0" w:color="BFBFBF"/>
            </w:tcBorders>
            <w:shd w:val="clear" w:color="auto" w:fill="auto"/>
            <w:vAlign w:val="center"/>
            <w:hideMark/>
          </w:tcPr>
          <w:p w:rsidR="00B13F3B" w:rsidRPr="00B13F3B" w:rsidP="00B13F3B">
            <w:pPr>
              <w:rPr>
                <w:rFonts w:ascii="Arial" w:eastAsia="Times New Roman" w:hAnsi="Arial" w:cs="Arial"/>
                <w:color w:val="000000"/>
                <w:lang w:eastAsia="en-GB"/>
              </w:rPr>
            </w:pPr>
            <w:r w:rsidRPr="00B13F3B">
              <w:rPr>
                <w:rFonts w:ascii="Arial" w:eastAsia="Times New Roman" w:hAnsi="Arial" w:cs="Arial"/>
                <w:color w:val="000000"/>
                <w:lang w:eastAsia="en-GB"/>
              </w:rPr>
              <w:t>Sand/woodchip pit edge replacements - Withy Grove &amp; Gregson Lane Playgrounds</w:t>
            </w:r>
          </w:p>
        </w:tc>
        <w:tc>
          <w:tcPr>
            <w:tcW w:w="1440" w:type="dxa"/>
            <w:tcBorders>
              <w:top w:val="nil"/>
              <w:left w:val="nil"/>
              <w:bottom w:val="single" w:sz="4" w:space="0" w:color="BFBFBF"/>
              <w:right w:val="single" w:sz="4" w:space="0" w:color="BFBFBF"/>
            </w:tcBorders>
            <w:shd w:val="clear" w:color="auto" w:fill="auto"/>
            <w:noWrap/>
            <w:vAlign w:val="center"/>
            <w:hideMark/>
          </w:tcPr>
          <w:p w:rsidR="00B13F3B" w:rsidRPr="00B12E80" w:rsidP="00B13F3B">
            <w:pPr>
              <w:rPr>
                <w:rFonts w:ascii="Arial" w:eastAsia="Times New Roman" w:hAnsi="Arial" w:cs="Arial"/>
                <w:color w:val="000000"/>
                <w:lang w:eastAsia="en-GB"/>
              </w:rPr>
            </w:pPr>
            <w:r w:rsidRPr="00B12E80">
              <w:rPr>
                <w:rFonts w:ascii="Arial" w:eastAsia="Times New Roman" w:hAnsi="Arial" w:cs="Arial"/>
                <w:color w:val="000000"/>
                <w:lang w:eastAsia="en-GB"/>
              </w:rPr>
              <w:t> </w:t>
            </w:r>
          </w:p>
        </w:tc>
        <w:tc>
          <w:tcPr>
            <w:tcW w:w="1440" w:type="dxa"/>
            <w:tcBorders>
              <w:top w:val="nil"/>
              <w:left w:val="nil"/>
              <w:bottom w:val="single" w:sz="4" w:space="0" w:color="BFBFBF"/>
              <w:right w:val="single" w:sz="4" w:space="0" w:color="BFBFBF"/>
            </w:tcBorders>
            <w:shd w:val="clear" w:color="auto" w:fill="auto"/>
            <w:noWrap/>
            <w:vAlign w:val="center"/>
            <w:hideMark/>
          </w:tcPr>
          <w:p w:rsidR="00B13F3B" w:rsidRPr="00A33A47" w:rsidP="00B13F3B">
            <w:pPr>
              <w:jc w:val="right"/>
              <w:rPr>
                <w:rFonts w:ascii="Arial" w:eastAsia="Times New Roman" w:hAnsi="Arial" w:cs="Arial"/>
                <w:color w:val="000000"/>
                <w:lang w:eastAsia="en-GB"/>
              </w:rPr>
            </w:pPr>
            <w:r w:rsidRPr="00A33A47">
              <w:rPr>
                <w:rFonts w:ascii="Arial" w:eastAsia="Times New Roman" w:hAnsi="Arial" w:cs="Arial"/>
                <w:color w:val="000000"/>
                <w:lang w:eastAsia="en-GB"/>
              </w:rPr>
              <w:t xml:space="preserve">40 </w:t>
            </w:r>
          </w:p>
        </w:tc>
        <w:tc>
          <w:tcPr>
            <w:tcW w:w="1540" w:type="dxa"/>
            <w:tcBorders>
              <w:top w:val="nil"/>
              <w:left w:val="nil"/>
              <w:bottom w:val="single" w:sz="4" w:space="0" w:color="BFBFBF"/>
              <w:right w:val="single" w:sz="4" w:space="0" w:color="BFBFBF"/>
            </w:tcBorders>
            <w:shd w:val="clear" w:color="auto" w:fill="auto"/>
            <w:vAlign w:val="center"/>
            <w:hideMark/>
          </w:tcPr>
          <w:p w:rsidR="00B13F3B" w:rsidRPr="00B13F3B" w:rsidP="00B13F3B">
            <w:pPr>
              <w:jc w:val="center"/>
              <w:rPr>
                <w:rFonts w:ascii="Arial" w:eastAsia="Times New Roman" w:hAnsi="Arial" w:cs="Arial"/>
                <w:color w:val="000000"/>
                <w:lang w:eastAsia="en-GB"/>
              </w:rPr>
            </w:pPr>
            <w:r w:rsidRPr="00B13F3B">
              <w:rPr>
                <w:rFonts w:ascii="Arial" w:eastAsia="Times New Roman" w:hAnsi="Arial" w:cs="Arial"/>
                <w:color w:val="000000"/>
                <w:lang w:eastAsia="en-GB"/>
              </w:rPr>
              <w:t>Council</w:t>
            </w:r>
          </w:p>
        </w:tc>
        <w:tc>
          <w:tcPr>
            <w:tcW w:w="1243" w:type="dxa"/>
            <w:tcBorders>
              <w:top w:val="nil"/>
              <w:left w:val="nil"/>
              <w:bottom w:val="single" w:sz="4" w:space="0" w:color="BFBFBF"/>
              <w:right w:val="single" w:sz="4" w:space="0" w:color="auto"/>
            </w:tcBorders>
            <w:shd w:val="clear" w:color="auto" w:fill="auto"/>
            <w:vAlign w:val="center"/>
            <w:hideMark/>
          </w:tcPr>
          <w:p w:rsidR="00B13F3B" w:rsidRPr="00B13F3B" w:rsidP="00B13F3B">
            <w:pPr>
              <w:jc w:val="center"/>
              <w:rPr>
                <w:rFonts w:ascii="Arial" w:eastAsia="Times New Roman" w:hAnsi="Arial" w:cs="Arial"/>
                <w:color w:val="000000"/>
                <w:lang w:eastAsia="en-GB"/>
              </w:rPr>
            </w:pPr>
            <w:r w:rsidRPr="00B13F3B">
              <w:rPr>
                <w:rFonts w:ascii="Arial" w:eastAsia="Times New Roman" w:hAnsi="Arial" w:cs="Arial"/>
                <w:color w:val="000000"/>
                <w:lang w:eastAsia="en-GB"/>
              </w:rPr>
              <w:t>23/02/22</w:t>
            </w:r>
          </w:p>
        </w:tc>
      </w:tr>
      <w:tr w:rsidTr="009B1202">
        <w:tblPrEx>
          <w:tblW w:w="9423" w:type="dxa"/>
          <w:tblLook w:val="04A0"/>
        </w:tblPrEx>
        <w:trPr>
          <w:trHeight w:val="285"/>
        </w:trPr>
        <w:tc>
          <w:tcPr>
            <w:tcW w:w="3760" w:type="dxa"/>
            <w:tcBorders>
              <w:top w:val="nil"/>
              <w:left w:val="single" w:sz="4" w:space="0" w:color="auto"/>
              <w:bottom w:val="single" w:sz="4" w:space="0" w:color="BFBFBF"/>
              <w:right w:val="single" w:sz="4" w:space="0" w:color="BFBFBF"/>
            </w:tcBorders>
            <w:shd w:val="clear" w:color="auto" w:fill="auto"/>
            <w:vAlign w:val="center"/>
            <w:hideMark/>
          </w:tcPr>
          <w:p w:rsidR="00B13F3B" w:rsidRPr="00B13F3B" w:rsidP="00B13F3B">
            <w:pPr>
              <w:rPr>
                <w:rFonts w:ascii="Arial" w:eastAsia="Times New Roman" w:hAnsi="Arial" w:cs="Arial"/>
                <w:color w:val="000000"/>
                <w:lang w:eastAsia="en-GB"/>
              </w:rPr>
            </w:pPr>
            <w:r w:rsidRPr="00B13F3B">
              <w:rPr>
                <w:rFonts w:ascii="Arial" w:eastAsia="Times New Roman" w:hAnsi="Arial" w:cs="Arial"/>
                <w:color w:val="000000"/>
                <w:lang w:eastAsia="en-GB"/>
              </w:rPr>
              <w:t>Hurst Grange Park - New link path</w:t>
            </w:r>
          </w:p>
        </w:tc>
        <w:tc>
          <w:tcPr>
            <w:tcW w:w="1440" w:type="dxa"/>
            <w:tcBorders>
              <w:top w:val="nil"/>
              <w:left w:val="nil"/>
              <w:bottom w:val="single" w:sz="4" w:space="0" w:color="BFBFBF"/>
              <w:right w:val="single" w:sz="4" w:space="0" w:color="BFBFBF"/>
            </w:tcBorders>
            <w:shd w:val="clear" w:color="auto" w:fill="auto"/>
            <w:noWrap/>
            <w:vAlign w:val="center"/>
            <w:hideMark/>
          </w:tcPr>
          <w:p w:rsidR="00B13F3B" w:rsidRPr="00B12E80" w:rsidP="00B13F3B">
            <w:pPr>
              <w:rPr>
                <w:rFonts w:ascii="Arial" w:eastAsia="Times New Roman" w:hAnsi="Arial" w:cs="Arial"/>
                <w:color w:val="000000"/>
                <w:lang w:eastAsia="en-GB"/>
              </w:rPr>
            </w:pPr>
            <w:r w:rsidRPr="00B12E80">
              <w:rPr>
                <w:rFonts w:ascii="Arial" w:eastAsia="Times New Roman" w:hAnsi="Arial" w:cs="Arial"/>
                <w:color w:val="000000"/>
                <w:lang w:eastAsia="en-GB"/>
              </w:rPr>
              <w:t> </w:t>
            </w:r>
          </w:p>
        </w:tc>
        <w:tc>
          <w:tcPr>
            <w:tcW w:w="1440" w:type="dxa"/>
            <w:tcBorders>
              <w:top w:val="nil"/>
              <w:left w:val="nil"/>
              <w:bottom w:val="single" w:sz="4" w:space="0" w:color="BFBFBF"/>
              <w:right w:val="single" w:sz="4" w:space="0" w:color="BFBFBF"/>
            </w:tcBorders>
            <w:shd w:val="clear" w:color="auto" w:fill="auto"/>
            <w:noWrap/>
            <w:vAlign w:val="center"/>
            <w:hideMark/>
          </w:tcPr>
          <w:p w:rsidR="00B13F3B" w:rsidRPr="00A33A47" w:rsidP="00B13F3B">
            <w:pPr>
              <w:jc w:val="right"/>
              <w:rPr>
                <w:rFonts w:ascii="Arial" w:eastAsia="Times New Roman" w:hAnsi="Arial" w:cs="Arial"/>
                <w:color w:val="000000"/>
                <w:lang w:eastAsia="en-GB"/>
              </w:rPr>
            </w:pPr>
            <w:r w:rsidRPr="00A33A47">
              <w:rPr>
                <w:rFonts w:ascii="Arial" w:eastAsia="Times New Roman" w:hAnsi="Arial" w:cs="Arial"/>
                <w:color w:val="000000"/>
                <w:lang w:eastAsia="en-GB"/>
              </w:rPr>
              <w:t xml:space="preserve">45 </w:t>
            </w:r>
          </w:p>
        </w:tc>
        <w:tc>
          <w:tcPr>
            <w:tcW w:w="1540" w:type="dxa"/>
            <w:tcBorders>
              <w:top w:val="nil"/>
              <w:left w:val="nil"/>
              <w:bottom w:val="single" w:sz="4" w:space="0" w:color="BFBFBF"/>
              <w:right w:val="single" w:sz="4" w:space="0" w:color="BFBFBF"/>
            </w:tcBorders>
            <w:shd w:val="clear" w:color="auto" w:fill="auto"/>
            <w:vAlign w:val="center"/>
            <w:hideMark/>
          </w:tcPr>
          <w:p w:rsidR="00B13F3B" w:rsidRPr="00B13F3B" w:rsidP="00B13F3B">
            <w:pPr>
              <w:jc w:val="center"/>
              <w:rPr>
                <w:rFonts w:ascii="Arial" w:eastAsia="Times New Roman" w:hAnsi="Arial" w:cs="Arial"/>
                <w:color w:val="000000"/>
                <w:lang w:eastAsia="en-GB"/>
              </w:rPr>
            </w:pPr>
            <w:r w:rsidRPr="00B13F3B">
              <w:rPr>
                <w:rFonts w:ascii="Arial" w:eastAsia="Times New Roman" w:hAnsi="Arial" w:cs="Arial"/>
                <w:color w:val="000000"/>
                <w:lang w:eastAsia="en-GB"/>
              </w:rPr>
              <w:t>Council</w:t>
            </w:r>
          </w:p>
        </w:tc>
        <w:tc>
          <w:tcPr>
            <w:tcW w:w="1243" w:type="dxa"/>
            <w:tcBorders>
              <w:top w:val="nil"/>
              <w:left w:val="nil"/>
              <w:bottom w:val="single" w:sz="4" w:space="0" w:color="BFBFBF"/>
              <w:right w:val="single" w:sz="4" w:space="0" w:color="auto"/>
            </w:tcBorders>
            <w:shd w:val="clear" w:color="auto" w:fill="auto"/>
            <w:vAlign w:val="center"/>
            <w:hideMark/>
          </w:tcPr>
          <w:p w:rsidR="00B13F3B" w:rsidRPr="00B13F3B" w:rsidP="00B13F3B">
            <w:pPr>
              <w:jc w:val="center"/>
              <w:rPr>
                <w:rFonts w:ascii="Arial" w:eastAsia="Times New Roman" w:hAnsi="Arial" w:cs="Arial"/>
                <w:color w:val="000000"/>
                <w:lang w:eastAsia="en-GB"/>
              </w:rPr>
            </w:pPr>
            <w:r w:rsidRPr="00B13F3B">
              <w:rPr>
                <w:rFonts w:ascii="Arial" w:eastAsia="Times New Roman" w:hAnsi="Arial" w:cs="Arial"/>
                <w:color w:val="000000"/>
                <w:lang w:eastAsia="en-GB"/>
              </w:rPr>
              <w:t>23/02/22</w:t>
            </w:r>
          </w:p>
        </w:tc>
      </w:tr>
      <w:tr w:rsidTr="009B1202">
        <w:tblPrEx>
          <w:tblW w:w="9423" w:type="dxa"/>
          <w:tblLook w:val="04A0"/>
        </w:tblPrEx>
        <w:trPr>
          <w:trHeight w:val="570"/>
        </w:trPr>
        <w:tc>
          <w:tcPr>
            <w:tcW w:w="3760" w:type="dxa"/>
            <w:tcBorders>
              <w:top w:val="nil"/>
              <w:left w:val="single" w:sz="4" w:space="0" w:color="auto"/>
              <w:bottom w:val="single" w:sz="4" w:space="0" w:color="BFBFBF"/>
              <w:right w:val="single" w:sz="4" w:space="0" w:color="BFBFBF"/>
            </w:tcBorders>
            <w:shd w:val="clear" w:color="auto" w:fill="auto"/>
            <w:vAlign w:val="center"/>
            <w:hideMark/>
          </w:tcPr>
          <w:p w:rsidR="00B13F3B" w:rsidRPr="00B13F3B" w:rsidP="00B13F3B">
            <w:pPr>
              <w:rPr>
                <w:rFonts w:ascii="Arial" w:eastAsia="Times New Roman" w:hAnsi="Arial" w:cs="Arial"/>
                <w:color w:val="000000"/>
                <w:lang w:eastAsia="en-GB"/>
              </w:rPr>
            </w:pPr>
            <w:r w:rsidRPr="00B13F3B">
              <w:rPr>
                <w:rFonts w:ascii="Arial" w:eastAsia="Times New Roman" w:hAnsi="Arial" w:cs="Arial"/>
                <w:color w:val="000000"/>
                <w:lang w:eastAsia="en-GB"/>
              </w:rPr>
              <w:t>Strawberry Valley Park, Bent Lane Phase 2</w:t>
            </w:r>
          </w:p>
        </w:tc>
        <w:tc>
          <w:tcPr>
            <w:tcW w:w="1440" w:type="dxa"/>
            <w:tcBorders>
              <w:top w:val="nil"/>
              <w:left w:val="nil"/>
              <w:bottom w:val="single" w:sz="4" w:space="0" w:color="BFBFBF"/>
              <w:right w:val="single" w:sz="4" w:space="0" w:color="BFBFBF"/>
            </w:tcBorders>
            <w:shd w:val="clear" w:color="auto" w:fill="auto"/>
            <w:noWrap/>
            <w:vAlign w:val="center"/>
            <w:hideMark/>
          </w:tcPr>
          <w:p w:rsidR="00B13F3B" w:rsidRPr="00B12E80" w:rsidP="00B13F3B">
            <w:pPr>
              <w:rPr>
                <w:rFonts w:ascii="Arial" w:eastAsia="Times New Roman" w:hAnsi="Arial" w:cs="Arial"/>
                <w:color w:val="000000"/>
                <w:lang w:eastAsia="en-GB"/>
              </w:rPr>
            </w:pPr>
            <w:r w:rsidRPr="00B12E80">
              <w:rPr>
                <w:rFonts w:ascii="Arial" w:eastAsia="Times New Roman" w:hAnsi="Arial" w:cs="Arial"/>
                <w:color w:val="000000"/>
                <w:lang w:eastAsia="en-GB"/>
              </w:rPr>
              <w:t> </w:t>
            </w:r>
          </w:p>
        </w:tc>
        <w:tc>
          <w:tcPr>
            <w:tcW w:w="1440" w:type="dxa"/>
            <w:tcBorders>
              <w:top w:val="nil"/>
              <w:left w:val="nil"/>
              <w:bottom w:val="single" w:sz="4" w:space="0" w:color="BFBFBF"/>
              <w:right w:val="single" w:sz="4" w:space="0" w:color="BFBFBF"/>
            </w:tcBorders>
            <w:shd w:val="clear" w:color="auto" w:fill="auto"/>
            <w:noWrap/>
            <w:vAlign w:val="center"/>
            <w:hideMark/>
          </w:tcPr>
          <w:p w:rsidR="00B13F3B" w:rsidRPr="00A33A47" w:rsidP="00B13F3B">
            <w:pPr>
              <w:jc w:val="right"/>
              <w:rPr>
                <w:rFonts w:ascii="Arial" w:eastAsia="Times New Roman" w:hAnsi="Arial" w:cs="Arial"/>
                <w:color w:val="000000"/>
                <w:lang w:eastAsia="en-GB"/>
              </w:rPr>
            </w:pPr>
            <w:r w:rsidRPr="00A33A47">
              <w:rPr>
                <w:rFonts w:ascii="Arial" w:eastAsia="Times New Roman" w:hAnsi="Arial" w:cs="Arial"/>
                <w:color w:val="000000"/>
                <w:lang w:eastAsia="en-GB"/>
              </w:rPr>
              <w:t xml:space="preserve">40 </w:t>
            </w:r>
          </w:p>
        </w:tc>
        <w:tc>
          <w:tcPr>
            <w:tcW w:w="1540" w:type="dxa"/>
            <w:tcBorders>
              <w:top w:val="nil"/>
              <w:left w:val="nil"/>
              <w:bottom w:val="single" w:sz="4" w:space="0" w:color="BFBFBF"/>
              <w:right w:val="single" w:sz="4" w:space="0" w:color="BFBFBF"/>
            </w:tcBorders>
            <w:shd w:val="clear" w:color="auto" w:fill="auto"/>
            <w:vAlign w:val="center"/>
            <w:hideMark/>
          </w:tcPr>
          <w:p w:rsidR="00B13F3B" w:rsidRPr="00B13F3B" w:rsidP="00B13F3B">
            <w:pPr>
              <w:jc w:val="center"/>
              <w:rPr>
                <w:rFonts w:ascii="Arial" w:eastAsia="Times New Roman" w:hAnsi="Arial" w:cs="Arial"/>
                <w:color w:val="000000"/>
                <w:lang w:eastAsia="en-GB"/>
              </w:rPr>
            </w:pPr>
            <w:r w:rsidRPr="00B13F3B">
              <w:rPr>
                <w:rFonts w:ascii="Arial" w:eastAsia="Times New Roman" w:hAnsi="Arial" w:cs="Arial"/>
                <w:color w:val="000000"/>
                <w:lang w:eastAsia="en-GB"/>
              </w:rPr>
              <w:t>Council</w:t>
            </w:r>
          </w:p>
        </w:tc>
        <w:tc>
          <w:tcPr>
            <w:tcW w:w="1243" w:type="dxa"/>
            <w:tcBorders>
              <w:top w:val="nil"/>
              <w:left w:val="nil"/>
              <w:bottom w:val="single" w:sz="4" w:space="0" w:color="BFBFBF"/>
              <w:right w:val="single" w:sz="4" w:space="0" w:color="auto"/>
            </w:tcBorders>
            <w:shd w:val="clear" w:color="auto" w:fill="auto"/>
            <w:vAlign w:val="center"/>
            <w:hideMark/>
          </w:tcPr>
          <w:p w:rsidR="00B13F3B" w:rsidRPr="00B13F3B" w:rsidP="00B13F3B">
            <w:pPr>
              <w:jc w:val="center"/>
              <w:rPr>
                <w:rFonts w:ascii="Arial" w:eastAsia="Times New Roman" w:hAnsi="Arial" w:cs="Arial"/>
                <w:color w:val="000000"/>
                <w:lang w:eastAsia="en-GB"/>
              </w:rPr>
            </w:pPr>
            <w:r w:rsidRPr="00B13F3B">
              <w:rPr>
                <w:rFonts w:ascii="Arial" w:eastAsia="Times New Roman" w:hAnsi="Arial" w:cs="Arial"/>
                <w:color w:val="000000"/>
                <w:lang w:eastAsia="en-GB"/>
              </w:rPr>
              <w:t>23/02/22</w:t>
            </w:r>
          </w:p>
        </w:tc>
      </w:tr>
      <w:tr w:rsidTr="009B1202">
        <w:tblPrEx>
          <w:tblW w:w="9423" w:type="dxa"/>
          <w:tblLook w:val="04A0"/>
        </w:tblPrEx>
        <w:trPr>
          <w:trHeight w:val="285"/>
        </w:trPr>
        <w:tc>
          <w:tcPr>
            <w:tcW w:w="3760" w:type="dxa"/>
            <w:tcBorders>
              <w:top w:val="nil"/>
              <w:left w:val="single" w:sz="4" w:space="0" w:color="auto"/>
              <w:bottom w:val="single" w:sz="4" w:space="0" w:color="BFBFBF"/>
              <w:right w:val="single" w:sz="4" w:space="0" w:color="BFBFBF"/>
            </w:tcBorders>
            <w:shd w:val="clear" w:color="auto" w:fill="auto"/>
            <w:vAlign w:val="center"/>
            <w:hideMark/>
          </w:tcPr>
          <w:p w:rsidR="00B13F3B" w:rsidRPr="00B13F3B" w:rsidP="00B13F3B">
            <w:pPr>
              <w:rPr>
                <w:rFonts w:ascii="Arial" w:eastAsia="Times New Roman" w:hAnsi="Arial" w:cs="Arial"/>
                <w:color w:val="000000"/>
                <w:lang w:eastAsia="en-GB"/>
              </w:rPr>
            </w:pPr>
            <w:r w:rsidRPr="00B13F3B">
              <w:rPr>
                <w:rFonts w:ascii="Arial" w:eastAsia="Times New Roman" w:hAnsi="Arial" w:cs="Arial"/>
                <w:color w:val="000000"/>
                <w:lang w:eastAsia="en-GB"/>
              </w:rPr>
              <w:t>Hurst Grange Park - new signage</w:t>
            </w:r>
          </w:p>
        </w:tc>
        <w:tc>
          <w:tcPr>
            <w:tcW w:w="1440" w:type="dxa"/>
            <w:tcBorders>
              <w:top w:val="nil"/>
              <w:left w:val="nil"/>
              <w:bottom w:val="single" w:sz="4" w:space="0" w:color="BFBFBF"/>
              <w:right w:val="single" w:sz="4" w:space="0" w:color="BFBFBF"/>
            </w:tcBorders>
            <w:shd w:val="clear" w:color="auto" w:fill="auto"/>
            <w:noWrap/>
            <w:vAlign w:val="center"/>
            <w:hideMark/>
          </w:tcPr>
          <w:p w:rsidR="00B13F3B" w:rsidRPr="00B12E80" w:rsidP="00B13F3B">
            <w:pPr>
              <w:rPr>
                <w:rFonts w:ascii="Arial" w:eastAsia="Times New Roman" w:hAnsi="Arial" w:cs="Arial"/>
                <w:color w:val="000000"/>
                <w:lang w:eastAsia="en-GB"/>
              </w:rPr>
            </w:pPr>
            <w:r w:rsidRPr="00B12E80">
              <w:rPr>
                <w:rFonts w:ascii="Arial" w:eastAsia="Times New Roman" w:hAnsi="Arial" w:cs="Arial"/>
                <w:color w:val="000000"/>
                <w:lang w:eastAsia="en-GB"/>
              </w:rPr>
              <w:t> </w:t>
            </w:r>
          </w:p>
        </w:tc>
        <w:tc>
          <w:tcPr>
            <w:tcW w:w="1440" w:type="dxa"/>
            <w:tcBorders>
              <w:top w:val="nil"/>
              <w:left w:val="nil"/>
              <w:bottom w:val="single" w:sz="4" w:space="0" w:color="BFBFBF"/>
              <w:right w:val="single" w:sz="4" w:space="0" w:color="BFBFBF"/>
            </w:tcBorders>
            <w:shd w:val="clear" w:color="auto" w:fill="auto"/>
            <w:noWrap/>
            <w:vAlign w:val="center"/>
            <w:hideMark/>
          </w:tcPr>
          <w:p w:rsidR="00B13F3B" w:rsidRPr="00A33A47" w:rsidP="00B13F3B">
            <w:pPr>
              <w:jc w:val="right"/>
              <w:rPr>
                <w:rFonts w:ascii="Arial" w:eastAsia="Times New Roman" w:hAnsi="Arial" w:cs="Arial"/>
                <w:color w:val="000000"/>
                <w:lang w:eastAsia="en-GB"/>
              </w:rPr>
            </w:pPr>
            <w:r w:rsidRPr="00A33A47">
              <w:rPr>
                <w:rFonts w:ascii="Arial" w:eastAsia="Times New Roman" w:hAnsi="Arial" w:cs="Arial"/>
                <w:color w:val="000000"/>
                <w:lang w:eastAsia="en-GB"/>
              </w:rPr>
              <w:t xml:space="preserve">15 </w:t>
            </w:r>
          </w:p>
        </w:tc>
        <w:tc>
          <w:tcPr>
            <w:tcW w:w="1540" w:type="dxa"/>
            <w:tcBorders>
              <w:top w:val="nil"/>
              <w:left w:val="nil"/>
              <w:bottom w:val="single" w:sz="4" w:space="0" w:color="BFBFBF"/>
              <w:right w:val="single" w:sz="4" w:space="0" w:color="BFBFBF"/>
            </w:tcBorders>
            <w:shd w:val="clear" w:color="auto" w:fill="auto"/>
            <w:vAlign w:val="center"/>
            <w:hideMark/>
          </w:tcPr>
          <w:p w:rsidR="00B13F3B" w:rsidRPr="00B13F3B" w:rsidP="00B13F3B">
            <w:pPr>
              <w:jc w:val="center"/>
              <w:rPr>
                <w:rFonts w:ascii="Arial" w:eastAsia="Times New Roman" w:hAnsi="Arial" w:cs="Arial"/>
                <w:color w:val="000000"/>
                <w:lang w:eastAsia="en-GB"/>
              </w:rPr>
            </w:pPr>
            <w:r w:rsidRPr="00B13F3B">
              <w:rPr>
                <w:rFonts w:ascii="Arial" w:eastAsia="Times New Roman" w:hAnsi="Arial" w:cs="Arial"/>
                <w:color w:val="000000"/>
                <w:lang w:eastAsia="en-GB"/>
              </w:rPr>
              <w:t>Council</w:t>
            </w:r>
          </w:p>
        </w:tc>
        <w:tc>
          <w:tcPr>
            <w:tcW w:w="1243" w:type="dxa"/>
            <w:tcBorders>
              <w:top w:val="nil"/>
              <w:left w:val="nil"/>
              <w:bottom w:val="single" w:sz="4" w:space="0" w:color="BFBFBF"/>
              <w:right w:val="single" w:sz="4" w:space="0" w:color="auto"/>
            </w:tcBorders>
            <w:shd w:val="clear" w:color="auto" w:fill="auto"/>
            <w:vAlign w:val="center"/>
            <w:hideMark/>
          </w:tcPr>
          <w:p w:rsidR="00B13F3B" w:rsidRPr="00B13F3B" w:rsidP="00B13F3B">
            <w:pPr>
              <w:jc w:val="center"/>
              <w:rPr>
                <w:rFonts w:ascii="Arial" w:eastAsia="Times New Roman" w:hAnsi="Arial" w:cs="Arial"/>
                <w:color w:val="000000"/>
                <w:lang w:eastAsia="en-GB"/>
              </w:rPr>
            </w:pPr>
            <w:r w:rsidRPr="00B13F3B">
              <w:rPr>
                <w:rFonts w:ascii="Arial" w:eastAsia="Times New Roman" w:hAnsi="Arial" w:cs="Arial"/>
                <w:color w:val="000000"/>
                <w:lang w:eastAsia="en-GB"/>
              </w:rPr>
              <w:t>23/02/22</w:t>
            </w:r>
          </w:p>
        </w:tc>
      </w:tr>
      <w:tr w:rsidTr="009B1202">
        <w:tblPrEx>
          <w:tblW w:w="9423" w:type="dxa"/>
          <w:tblLook w:val="04A0"/>
        </w:tblPrEx>
        <w:trPr>
          <w:trHeight w:val="570"/>
        </w:trPr>
        <w:tc>
          <w:tcPr>
            <w:tcW w:w="3760" w:type="dxa"/>
            <w:tcBorders>
              <w:top w:val="nil"/>
              <w:left w:val="single" w:sz="4" w:space="0" w:color="auto"/>
              <w:bottom w:val="single" w:sz="4" w:space="0" w:color="BFBFBF"/>
              <w:right w:val="single" w:sz="4" w:space="0" w:color="BFBFBF"/>
            </w:tcBorders>
            <w:shd w:val="clear" w:color="auto" w:fill="auto"/>
            <w:vAlign w:val="center"/>
            <w:hideMark/>
          </w:tcPr>
          <w:p w:rsidR="00B13F3B" w:rsidRPr="00B13F3B" w:rsidP="00B13F3B">
            <w:pPr>
              <w:rPr>
                <w:rFonts w:ascii="Arial" w:eastAsia="Times New Roman" w:hAnsi="Arial" w:cs="Arial"/>
                <w:color w:val="000000"/>
                <w:lang w:eastAsia="en-GB"/>
              </w:rPr>
            </w:pPr>
            <w:r w:rsidRPr="00B13F3B">
              <w:rPr>
                <w:rFonts w:ascii="Arial" w:eastAsia="Times New Roman" w:hAnsi="Arial" w:cs="Arial"/>
                <w:color w:val="000000"/>
                <w:lang w:eastAsia="en-GB"/>
              </w:rPr>
              <w:t>Farington</w:t>
            </w:r>
            <w:r w:rsidRPr="00B13F3B">
              <w:rPr>
                <w:rFonts w:ascii="Arial" w:eastAsia="Times New Roman" w:hAnsi="Arial" w:cs="Arial"/>
                <w:color w:val="000000"/>
                <w:lang w:eastAsia="en-GB"/>
              </w:rPr>
              <w:t xml:space="preserve"> Lodges - path improvements and dipping platform</w:t>
            </w:r>
          </w:p>
        </w:tc>
        <w:tc>
          <w:tcPr>
            <w:tcW w:w="1440" w:type="dxa"/>
            <w:tcBorders>
              <w:top w:val="nil"/>
              <w:left w:val="nil"/>
              <w:bottom w:val="single" w:sz="4" w:space="0" w:color="BFBFBF"/>
              <w:right w:val="single" w:sz="4" w:space="0" w:color="BFBFBF"/>
            </w:tcBorders>
            <w:shd w:val="clear" w:color="auto" w:fill="auto"/>
            <w:noWrap/>
            <w:vAlign w:val="center"/>
            <w:hideMark/>
          </w:tcPr>
          <w:p w:rsidR="00B13F3B" w:rsidRPr="00B12E80" w:rsidP="00B13F3B">
            <w:pPr>
              <w:rPr>
                <w:rFonts w:ascii="Arial" w:eastAsia="Times New Roman" w:hAnsi="Arial" w:cs="Arial"/>
                <w:color w:val="000000"/>
                <w:lang w:eastAsia="en-GB"/>
              </w:rPr>
            </w:pPr>
            <w:r w:rsidRPr="00B12E80">
              <w:rPr>
                <w:rFonts w:ascii="Arial" w:eastAsia="Times New Roman" w:hAnsi="Arial" w:cs="Arial"/>
                <w:color w:val="000000"/>
                <w:lang w:eastAsia="en-GB"/>
              </w:rPr>
              <w:t> </w:t>
            </w:r>
          </w:p>
        </w:tc>
        <w:tc>
          <w:tcPr>
            <w:tcW w:w="1440" w:type="dxa"/>
            <w:tcBorders>
              <w:top w:val="nil"/>
              <w:left w:val="nil"/>
              <w:bottom w:val="single" w:sz="4" w:space="0" w:color="BFBFBF"/>
              <w:right w:val="single" w:sz="4" w:space="0" w:color="BFBFBF"/>
            </w:tcBorders>
            <w:shd w:val="clear" w:color="auto" w:fill="auto"/>
            <w:noWrap/>
            <w:vAlign w:val="center"/>
            <w:hideMark/>
          </w:tcPr>
          <w:p w:rsidR="00B13F3B" w:rsidRPr="00A33A47" w:rsidP="00B13F3B">
            <w:pPr>
              <w:jc w:val="right"/>
              <w:rPr>
                <w:rFonts w:ascii="Arial" w:eastAsia="Times New Roman" w:hAnsi="Arial" w:cs="Arial"/>
                <w:color w:val="000000"/>
                <w:lang w:eastAsia="en-GB"/>
              </w:rPr>
            </w:pPr>
            <w:r w:rsidRPr="00A33A47">
              <w:rPr>
                <w:rFonts w:ascii="Arial" w:eastAsia="Times New Roman" w:hAnsi="Arial" w:cs="Arial"/>
                <w:color w:val="000000"/>
                <w:lang w:eastAsia="en-GB"/>
              </w:rPr>
              <w:t xml:space="preserve">41 </w:t>
            </w:r>
          </w:p>
        </w:tc>
        <w:tc>
          <w:tcPr>
            <w:tcW w:w="1540" w:type="dxa"/>
            <w:tcBorders>
              <w:top w:val="nil"/>
              <w:left w:val="nil"/>
              <w:bottom w:val="single" w:sz="4" w:space="0" w:color="BFBFBF"/>
              <w:right w:val="single" w:sz="4" w:space="0" w:color="BFBFBF"/>
            </w:tcBorders>
            <w:shd w:val="clear" w:color="auto" w:fill="auto"/>
            <w:vAlign w:val="center"/>
            <w:hideMark/>
          </w:tcPr>
          <w:p w:rsidR="00B13F3B" w:rsidRPr="00B13F3B" w:rsidP="00B13F3B">
            <w:pPr>
              <w:jc w:val="center"/>
              <w:rPr>
                <w:rFonts w:ascii="Arial" w:eastAsia="Times New Roman" w:hAnsi="Arial" w:cs="Arial"/>
                <w:color w:val="000000"/>
                <w:lang w:eastAsia="en-GB"/>
              </w:rPr>
            </w:pPr>
            <w:r w:rsidRPr="00B13F3B">
              <w:rPr>
                <w:rFonts w:ascii="Arial" w:eastAsia="Times New Roman" w:hAnsi="Arial" w:cs="Arial"/>
                <w:color w:val="000000"/>
                <w:lang w:eastAsia="en-GB"/>
              </w:rPr>
              <w:t>Council</w:t>
            </w:r>
          </w:p>
        </w:tc>
        <w:tc>
          <w:tcPr>
            <w:tcW w:w="1243" w:type="dxa"/>
            <w:tcBorders>
              <w:top w:val="nil"/>
              <w:left w:val="nil"/>
              <w:bottom w:val="single" w:sz="4" w:space="0" w:color="BFBFBF"/>
              <w:right w:val="single" w:sz="4" w:space="0" w:color="auto"/>
            </w:tcBorders>
            <w:shd w:val="clear" w:color="auto" w:fill="auto"/>
            <w:vAlign w:val="center"/>
            <w:hideMark/>
          </w:tcPr>
          <w:p w:rsidR="00B13F3B" w:rsidRPr="00B13F3B" w:rsidP="00B13F3B">
            <w:pPr>
              <w:jc w:val="center"/>
              <w:rPr>
                <w:rFonts w:ascii="Arial" w:eastAsia="Times New Roman" w:hAnsi="Arial" w:cs="Arial"/>
                <w:color w:val="000000"/>
                <w:lang w:eastAsia="en-GB"/>
              </w:rPr>
            </w:pPr>
            <w:r w:rsidRPr="00B13F3B">
              <w:rPr>
                <w:rFonts w:ascii="Arial" w:eastAsia="Times New Roman" w:hAnsi="Arial" w:cs="Arial"/>
                <w:color w:val="000000"/>
                <w:lang w:eastAsia="en-GB"/>
              </w:rPr>
              <w:t>23/02/22</w:t>
            </w:r>
          </w:p>
        </w:tc>
      </w:tr>
      <w:tr w:rsidTr="009B1202">
        <w:tblPrEx>
          <w:tblW w:w="9423" w:type="dxa"/>
          <w:tblLook w:val="04A0"/>
        </w:tblPrEx>
        <w:trPr>
          <w:trHeight w:val="570"/>
        </w:trPr>
        <w:tc>
          <w:tcPr>
            <w:tcW w:w="3760" w:type="dxa"/>
            <w:tcBorders>
              <w:top w:val="nil"/>
              <w:left w:val="single" w:sz="4" w:space="0" w:color="auto"/>
              <w:bottom w:val="single" w:sz="4" w:space="0" w:color="BFBFBF"/>
              <w:right w:val="single" w:sz="4" w:space="0" w:color="BFBFBF"/>
            </w:tcBorders>
            <w:shd w:val="clear" w:color="auto" w:fill="auto"/>
            <w:vAlign w:val="center"/>
            <w:hideMark/>
          </w:tcPr>
          <w:p w:rsidR="00B13F3B" w:rsidRPr="00B13F3B" w:rsidP="00B13F3B">
            <w:pPr>
              <w:rPr>
                <w:rFonts w:ascii="Arial" w:eastAsia="Times New Roman" w:hAnsi="Arial" w:cs="Arial"/>
                <w:color w:val="000000"/>
                <w:lang w:eastAsia="en-GB"/>
              </w:rPr>
            </w:pPr>
            <w:r w:rsidRPr="00B13F3B">
              <w:rPr>
                <w:rFonts w:ascii="Arial" w:eastAsia="Times New Roman" w:hAnsi="Arial" w:cs="Arial"/>
                <w:color w:val="000000"/>
                <w:lang w:eastAsia="en-GB"/>
              </w:rPr>
              <w:t>Parks - Smaller parks and play areas</w:t>
            </w:r>
          </w:p>
        </w:tc>
        <w:tc>
          <w:tcPr>
            <w:tcW w:w="1440" w:type="dxa"/>
            <w:tcBorders>
              <w:top w:val="nil"/>
              <w:left w:val="nil"/>
              <w:bottom w:val="single" w:sz="4" w:space="0" w:color="BFBFBF"/>
              <w:right w:val="single" w:sz="4" w:space="0" w:color="BFBFBF"/>
            </w:tcBorders>
            <w:shd w:val="clear" w:color="auto" w:fill="auto"/>
            <w:noWrap/>
            <w:vAlign w:val="center"/>
            <w:hideMark/>
          </w:tcPr>
          <w:p w:rsidR="00B13F3B" w:rsidRPr="00B12E80" w:rsidP="00B13F3B">
            <w:pPr>
              <w:rPr>
                <w:rFonts w:ascii="Arial" w:eastAsia="Times New Roman" w:hAnsi="Arial" w:cs="Arial"/>
                <w:color w:val="000000"/>
                <w:lang w:eastAsia="en-GB"/>
              </w:rPr>
            </w:pPr>
            <w:r w:rsidRPr="00B12E80">
              <w:rPr>
                <w:rFonts w:ascii="Arial" w:eastAsia="Times New Roman" w:hAnsi="Arial" w:cs="Arial"/>
                <w:color w:val="000000"/>
                <w:lang w:eastAsia="en-GB"/>
              </w:rPr>
              <w:t> </w:t>
            </w:r>
          </w:p>
        </w:tc>
        <w:tc>
          <w:tcPr>
            <w:tcW w:w="1440" w:type="dxa"/>
            <w:tcBorders>
              <w:top w:val="nil"/>
              <w:left w:val="nil"/>
              <w:bottom w:val="single" w:sz="4" w:space="0" w:color="BFBFBF"/>
              <w:right w:val="single" w:sz="4" w:space="0" w:color="BFBFBF"/>
            </w:tcBorders>
            <w:shd w:val="clear" w:color="auto" w:fill="auto"/>
            <w:noWrap/>
            <w:vAlign w:val="center"/>
            <w:hideMark/>
          </w:tcPr>
          <w:p w:rsidR="00B13F3B" w:rsidRPr="00A33A47" w:rsidP="00B13F3B">
            <w:pPr>
              <w:jc w:val="right"/>
              <w:rPr>
                <w:rFonts w:ascii="Arial" w:eastAsia="Times New Roman" w:hAnsi="Arial" w:cs="Arial"/>
                <w:color w:val="000000"/>
                <w:lang w:eastAsia="en-GB"/>
              </w:rPr>
            </w:pPr>
            <w:r w:rsidRPr="00A33A47">
              <w:rPr>
                <w:rFonts w:ascii="Arial" w:eastAsia="Times New Roman" w:hAnsi="Arial" w:cs="Arial"/>
                <w:color w:val="000000"/>
                <w:lang w:eastAsia="en-GB"/>
              </w:rPr>
              <w:t xml:space="preserve">200 </w:t>
            </w:r>
          </w:p>
        </w:tc>
        <w:tc>
          <w:tcPr>
            <w:tcW w:w="1540" w:type="dxa"/>
            <w:tcBorders>
              <w:top w:val="nil"/>
              <w:left w:val="nil"/>
              <w:bottom w:val="single" w:sz="4" w:space="0" w:color="BFBFBF"/>
              <w:right w:val="single" w:sz="4" w:space="0" w:color="BFBFBF"/>
            </w:tcBorders>
            <w:shd w:val="clear" w:color="auto" w:fill="auto"/>
            <w:vAlign w:val="center"/>
            <w:hideMark/>
          </w:tcPr>
          <w:p w:rsidR="00B13F3B" w:rsidRPr="00B13F3B" w:rsidP="00B13F3B">
            <w:pPr>
              <w:jc w:val="center"/>
              <w:rPr>
                <w:rFonts w:ascii="Arial" w:eastAsia="Times New Roman" w:hAnsi="Arial" w:cs="Arial"/>
                <w:color w:val="000000"/>
                <w:lang w:eastAsia="en-GB"/>
              </w:rPr>
            </w:pPr>
            <w:r w:rsidRPr="00B13F3B">
              <w:rPr>
                <w:rFonts w:ascii="Arial" w:eastAsia="Times New Roman" w:hAnsi="Arial" w:cs="Arial"/>
                <w:color w:val="000000"/>
                <w:lang w:eastAsia="en-GB"/>
              </w:rPr>
              <w:t>Council</w:t>
            </w:r>
          </w:p>
        </w:tc>
        <w:tc>
          <w:tcPr>
            <w:tcW w:w="1243" w:type="dxa"/>
            <w:tcBorders>
              <w:top w:val="nil"/>
              <w:left w:val="nil"/>
              <w:bottom w:val="single" w:sz="4" w:space="0" w:color="BFBFBF"/>
              <w:right w:val="single" w:sz="4" w:space="0" w:color="auto"/>
            </w:tcBorders>
            <w:shd w:val="clear" w:color="auto" w:fill="auto"/>
            <w:vAlign w:val="center"/>
            <w:hideMark/>
          </w:tcPr>
          <w:p w:rsidR="00B13F3B" w:rsidRPr="00B13F3B" w:rsidP="00B13F3B">
            <w:pPr>
              <w:jc w:val="center"/>
              <w:rPr>
                <w:rFonts w:ascii="Arial" w:eastAsia="Times New Roman" w:hAnsi="Arial" w:cs="Arial"/>
                <w:color w:val="000000"/>
                <w:lang w:eastAsia="en-GB"/>
              </w:rPr>
            </w:pPr>
            <w:r w:rsidRPr="00B13F3B">
              <w:rPr>
                <w:rFonts w:ascii="Arial" w:eastAsia="Times New Roman" w:hAnsi="Arial" w:cs="Arial"/>
                <w:color w:val="000000"/>
                <w:lang w:eastAsia="en-GB"/>
              </w:rPr>
              <w:t>23/02/22</w:t>
            </w:r>
          </w:p>
        </w:tc>
      </w:tr>
      <w:tr w:rsidTr="009B1202">
        <w:tblPrEx>
          <w:tblW w:w="9423" w:type="dxa"/>
          <w:tblLook w:val="04A0"/>
        </w:tblPrEx>
        <w:trPr>
          <w:trHeight w:val="300"/>
        </w:trPr>
        <w:tc>
          <w:tcPr>
            <w:tcW w:w="3760" w:type="dxa"/>
            <w:tcBorders>
              <w:top w:val="nil"/>
              <w:left w:val="single" w:sz="4" w:space="0" w:color="auto"/>
              <w:bottom w:val="nil"/>
              <w:right w:val="nil"/>
            </w:tcBorders>
            <w:shd w:val="clear" w:color="auto" w:fill="auto"/>
            <w:noWrap/>
            <w:vAlign w:val="center"/>
            <w:hideMark/>
          </w:tcPr>
          <w:p w:rsidR="00B13F3B" w:rsidRPr="00B13F3B" w:rsidP="00B13F3B">
            <w:pPr>
              <w:rPr>
                <w:rFonts w:ascii="Arial" w:eastAsia="Times New Roman" w:hAnsi="Arial" w:cs="Arial"/>
                <w:b/>
                <w:bCs/>
                <w:lang w:eastAsia="en-GB"/>
              </w:rPr>
            </w:pPr>
            <w:r w:rsidRPr="00B13F3B">
              <w:rPr>
                <w:rFonts w:ascii="Arial" w:eastAsia="Times New Roman" w:hAnsi="Arial" w:cs="Arial"/>
                <w:b/>
                <w:bCs/>
                <w:lang w:eastAsia="en-GB"/>
              </w:rPr>
              <w:t>Sports and Leisure</w:t>
            </w:r>
          </w:p>
        </w:tc>
        <w:tc>
          <w:tcPr>
            <w:tcW w:w="1440" w:type="dxa"/>
            <w:tcBorders>
              <w:top w:val="nil"/>
              <w:left w:val="nil"/>
              <w:bottom w:val="nil"/>
              <w:right w:val="nil"/>
            </w:tcBorders>
            <w:shd w:val="clear" w:color="auto" w:fill="auto"/>
            <w:noWrap/>
            <w:vAlign w:val="center"/>
            <w:hideMark/>
          </w:tcPr>
          <w:p w:rsidR="00B13F3B" w:rsidRPr="00B12E80" w:rsidP="00B13F3B">
            <w:pPr>
              <w:rPr>
                <w:rFonts w:ascii="Arial" w:eastAsia="Times New Roman" w:hAnsi="Arial" w:cs="Arial"/>
                <w:b/>
                <w:bCs/>
                <w:lang w:eastAsia="en-GB"/>
              </w:rPr>
            </w:pPr>
          </w:p>
        </w:tc>
        <w:tc>
          <w:tcPr>
            <w:tcW w:w="1440" w:type="dxa"/>
            <w:tcBorders>
              <w:top w:val="nil"/>
              <w:left w:val="nil"/>
              <w:bottom w:val="nil"/>
              <w:right w:val="nil"/>
            </w:tcBorders>
            <w:shd w:val="clear" w:color="auto" w:fill="auto"/>
            <w:noWrap/>
            <w:vAlign w:val="center"/>
            <w:hideMark/>
          </w:tcPr>
          <w:p w:rsidR="00B13F3B" w:rsidRPr="00A33A47" w:rsidP="00B13F3B">
            <w:pPr>
              <w:rPr>
                <w:rFonts w:ascii="Times New Roman" w:eastAsia="Times New Roman" w:hAnsi="Times New Roman" w:cs="Times New Roman"/>
                <w:sz w:val="20"/>
                <w:szCs w:val="20"/>
                <w:lang w:eastAsia="en-GB"/>
              </w:rPr>
            </w:pPr>
          </w:p>
        </w:tc>
        <w:tc>
          <w:tcPr>
            <w:tcW w:w="1540" w:type="dxa"/>
            <w:tcBorders>
              <w:top w:val="nil"/>
              <w:left w:val="nil"/>
              <w:bottom w:val="nil"/>
              <w:right w:val="nil"/>
            </w:tcBorders>
            <w:shd w:val="clear" w:color="auto" w:fill="auto"/>
            <w:noWrap/>
            <w:vAlign w:val="center"/>
            <w:hideMark/>
          </w:tcPr>
          <w:p w:rsidR="00B13F3B" w:rsidRPr="00B13F3B" w:rsidP="00B13F3B">
            <w:pPr>
              <w:rPr>
                <w:rFonts w:ascii="Times New Roman" w:eastAsia="Times New Roman" w:hAnsi="Times New Roman" w:cs="Times New Roman"/>
                <w:sz w:val="20"/>
                <w:szCs w:val="20"/>
                <w:lang w:eastAsia="en-GB"/>
              </w:rPr>
            </w:pPr>
          </w:p>
        </w:tc>
        <w:tc>
          <w:tcPr>
            <w:tcW w:w="1243" w:type="dxa"/>
            <w:tcBorders>
              <w:top w:val="nil"/>
              <w:left w:val="nil"/>
              <w:bottom w:val="nil"/>
              <w:right w:val="single" w:sz="4" w:space="0" w:color="auto"/>
            </w:tcBorders>
            <w:shd w:val="clear" w:color="auto" w:fill="auto"/>
            <w:noWrap/>
            <w:vAlign w:val="center"/>
            <w:hideMark/>
          </w:tcPr>
          <w:p w:rsidR="00B13F3B" w:rsidRPr="00B13F3B" w:rsidP="00B13F3B">
            <w:pPr>
              <w:rPr>
                <w:rFonts w:ascii="Arial" w:eastAsia="Times New Roman" w:hAnsi="Arial" w:cs="Arial"/>
                <w:color w:val="000000"/>
                <w:lang w:eastAsia="en-GB"/>
              </w:rPr>
            </w:pPr>
            <w:r w:rsidRPr="00B13F3B">
              <w:rPr>
                <w:rFonts w:ascii="Arial" w:eastAsia="Times New Roman" w:hAnsi="Arial" w:cs="Arial"/>
                <w:color w:val="000000"/>
                <w:lang w:eastAsia="en-GB"/>
              </w:rPr>
              <w:t> </w:t>
            </w:r>
          </w:p>
        </w:tc>
      </w:tr>
      <w:tr w:rsidTr="009B1202">
        <w:tblPrEx>
          <w:tblW w:w="9423" w:type="dxa"/>
          <w:tblLook w:val="04A0"/>
        </w:tblPrEx>
        <w:trPr>
          <w:trHeight w:val="285"/>
        </w:trPr>
        <w:tc>
          <w:tcPr>
            <w:tcW w:w="3760" w:type="dxa"/>
            <w:tcBorders>
              <w:top w:val="single" w:sz="4" w:space="0" w:color="BFBFBF"/>
              <w:left w:val="single" w:sz="4" w:space="0" w:color="auto"/>
              <w:bottom w:val="single" w:sz="4" w:space="0" w:color="BFBFBF"/>
              <w:right w:val="single" w:sz="4" w:space="0" w:color="BFBFBF"/>
            </w:tcBorders>
            <w:shd w:val="clear" w:color="auto" w:fill="auto"/>
            <w:vAlign w:val="center"/>
            <w:hideMark/>
          </w:tcPr>
          <w:p w:rsidR="00B13F3B" w:rsidRPr="00B13F3B" w:rsidP="00B13F3B">
            <w:pPr>
              <w:rPr>
                <w:rFonts w:ascii="Arial" w:eastAsia="Times New Roman" w:hAnsi="Arial" w:cs="Arial"/>
                <w:color w:val="000000"/>
                <w:lang w:eastAsia="en-GB"/>
              </w:rPr>
            </w:pPr>
            <w:r w:rsidRPr="00B13F3B">
              <w:rPr>
                <w:rFonts w:ascii="Arial" w:eastAsia="Times New Roman" w:hAnsi="Arial" w:cs="Arial"/>
                <w:color w:val="000000"/>
                <w:lang w:eastAsia="en-GB"/>
              </w:rPr>
              <w:t>Decarbonisation of Leisure Centres</w:t>
            </w:r>
          </w:p>
        </w:tc>
        <w:tc>
          <w:tcPr>
            <w:tcW w:w="1440" w:type="dxa"/>
            <w:tcBorders>
              <w:top w:val="single" w:sz="4" w:space="0" w:color="BFBFBF"/>
              <w:left w:val="nil"/>
              <w:bottom w:val="single" w:sz="4" w:space="0" w:color="BFBFBF"/>
              <w:right w:val="single" w:sz="4" w:space="0" w:color="BFBFBF"/>
            </w:tcBorders>
            <w:shd w:val="clear" w:color="auto" w:fill="auto"/>
            <w:noWrap/>
            <w:vAlign w:val="center"/>
            <w:hideMark/>
          </w:tcPr>
          <w:p w:rsidR="00B13F3B" w:rsidRPr="00B12E80" w:rsidP="00B13F3B">
            <w:pPr>
              <w:rPr>
                <w:rFonts w:ascii="Arial" w:eastAsia="Times New Roman" w:hAnsi="Arial" w:cs="Arial"/>
                <w:color w:val="000000"/>
                <w:lang w:eastAsia="en-GB"/>
              </w:rPr>
            </w:pPr>
            <w:r w:rsidRPr="00B12E80">
              <w:rPr>
                <w:rFonts w:ascii="Arial" w:eastAsia="Times New Roman" w:hAnsi="Arial" w:cs="Arial"/>
                <w:color w:val="000000"/>
                <w:lang w:eastAsia="en-GB"/>
              </w:rPr>
              <w:t> </w:t>
            </w:r>
          </w:p>
        </w:tc>
        <w:tc>
          <w:tcPr>
            <w:tcW w:w="1440" w:type="dxa"/>
            <w:tcBorders>
              <w:top w:val="single" w:sz="4" w:space="0" w:color="BFBFBF"/>
              <w:left w:val="nil"/>
              <w:bottom w:val="single" w:sz="4" w:space="0" w:color="BFBFBF"/>
              <w:right w:val="single" w:sz="4" w:space="0" w:color="BFBFBF"/>
            </w:tcBorders>
            <w:shd w:val="clear" w:color="auto" w:fill="auto"/>
            <w:noWrap/>
            <w:vAlign w:val="center"/>
            <w:hideMark/>
          </w:tcPr>
          <w:p w:rsidR="00B13F3B" w:rsidRPr="00A33A47" w:rsidP="00B13F3B">
            <w:pPr>
              <w:jc w:val="right"/>
              <w:rPr>
                <w:rFonts w:ascii="Arial" w:eastAsia="Times New Roman" w:hAnsi="Arial" w:cs="Arial"/>
                <w:color w:val="000000"/>
                <w:lang w:eastAsia="en-GB"/>
              </w:rPr>
            </w:pPr>
            <w:r w:rsidRPr="00A33A47">
              <w:rPr>
                <w:rFonts w:ascii="Arial" w:eastAsia="Times New Roman" w:hAnsi="Arial" w:cs="Arial"/>
                <w:color w:val="000000"/>
                <w:lang w:eastAsia="en-GB"/>
              </w:rPr>
              <w:t xml:space="preserve">4,769 </w:t>
            </w:r>
          </w:p>
        </w:tc>
        <w:tc>
          <w:tcPr>
            <w:tcW w:w="1540" w:type="dxa"/>
            <w:tcBorders>
              <w:top w:val="single" w:sz="4" w:space="0" w:color="BFBFBF"/>
              <w:left w:val="nil"/>
              <w:bottom w:val="single" w:sz="4" w:space="0" w:color="BFBFBF"/>
              <w:right w:val="single" w:sz="4" w:space="0" w:color="BFBFBF"/>
            </w:tcBorders>
            <w:shd w:val="clear" w:color="auto" w:fill="auto"/>
            <w:vAlign w:val="center"/>
            <w:hideMark/>
          </w:tcPr>
          <w:p w:rsidR="00B13F3B" w:rsidRPr="00B13F3B" w:rsidP="00B13F3B">
            <w:pPr>
              <w:jc w:val="center"/>
              <w:rPr>
                <w:rFonts w:ascii="Arial" w:eastAsia="Times New Roman" w:hAnsi="Arial" w:cs="Arial"/>
                <w:color w:val="000000"/>
                <w:lang w:eastAsia="en-GB"/>
              </w:rPr>
            </w:pPr>
            <w:r w:rsidRPr="00B13F3B">
              <w:rPr>
                <w:rFonts w:ascii="Arial" w:eastAsia="Times New Roman" w:hAnsi="Arial" w:cs="Arial"/>
                <w:color w:val="000000"/>
                <w:lang w:eastAsia="en-GB"/>
              </w:rPr>
              <w:t>Council</w:t>
            </w:r>
          </w:p>
        </w:tc>
        <w:tc>
          <w:tcPr>
            <w:tcW w:w="1243" w:type="dxa"/>
            <w:tcBorders>
              <w:top w:val="single" w:sz="4" w:space="0" w:color="BFBFBF"/>
              <w:left w:val="nil"/>
              <w:bottom w:val="single" w:sz="4" w:space="0" w:color="BFBFBF"/>
              <w:right w:val="single" w:sz="4" w:space="0" w:color="auto"/>
            </w:tcBorders>
            <w:shd w:val="clear" w:color="auto" w:fill="auto"/>
            <w:vAlign w:val="center"/>
            <w:hideMark/>
          </w:tcPr>
          <w:p w:rsidR="00B13F3B" w:rsidRPr="00B13F3B" w:rsidP="00B13F3B">
            <w:pPr>
              <w:jc w:val="center"/>
              <w:rPr>
                <w:rFonts w:ascii="Arial" w:eastAsia="Times New Roman" w:hAnsi="Arial" w:cs="Arial"/>
                <w:color w:val="000000"/>
                <w:lang w:eastAsia="en-GB"/>
              </w:rPr>
            </w:pPr>
            <w:r w:rsidRPr="00B13F3B">
              <w:rPr>
                <w:rFonts w:ascii="Arial" w:eastAsia="Times New Roman" w:hAnsi="Arial" w:cs="Arial"/>
                <w:color w:val="000000"/>
                <w:lang w:eastAsia="en-GB"/>
              </w:rPr>
              <w:t>23/02/22</w:t>
            </w:r>
          </w:p>
        </w:tc>
      </w:tr>
      <w:tr w:rsidTr="009B1202">
        <w:tblPrEx>
          <w:tblW w:w="9423" w:type="dxa"/>
          <w:tblLook w:val="04A0"/>
        </w:tblPrEx>
        <w:trPr>
          <w:trHeight w:val="300"/>
        </w:trPr>
        <w:tc>
          <w:tcPr>
            <w:tcW w:w="3760" w:type="dxa"/>
            <w:tcBorders>
              <w:top w:val="nil"/>
              <w:left w:val="single" w:sz="4" w:space="0" w:color="auto"/>
              <w:bottom w:val="nil"/>
              <w:right w:val="nil"/>
            </w:tcBorders>
            <w:shd w:val="clear" w:color="auto" w:fill="auto"/>
            <w:noWrap/>
            <w:vAlign w:val="center"/>
            <w:hideMark/>
          </w:tcPr>
          <w:p w:rsidR="00B13F3B" w:rsidRPr="00B13F3B" w:rsidP="00B13F3B">
            <w:pPr>
              <w:rPr>
                <w:rFonts w:ascii="Arial" w:eastAsia="Times New Roman" w:hAnsi="Arial" w:cs="Arial"/>
                <w:b/>
                <w:bCs/>
                <w:lang w:eastAsia="en-GB"/>
              </w:rPr>
            </w:pPr>
            <w:r w:rsidRPr="00B13F3B">
              <w:rPr>
                <w:rFonts w:ascii="Arial" w:eastAsia="Times New Roman" w:hAnsi="Arial" w:cs="Arial"/>
                <w:b/>
                <w:bCs/>
                <w:lang w:eastAsia="en-GB"/>
              </w:rPr>
              <w:t>Housing</w:t>
            </w:r>
          </w:p>
        </w:tc>
        <w:tc>
          <w:tcPr>
            <w:tcW w:w="1440" w:type="dxa"/>
            <w:tcBorders>
              <w:top w:val="nil"/>
              <w:left w:val="nil"/>
              <w:bottom w:val="nil"/>
              <w:right w:val="nil"/>
            </w:tcBorders>
            <w:shd w:val="clear" w:color="auto" w:fill="auto"/>
            <w:noWrap/>
            <w:vAlign w:val="center"/>
            <w:hideMark/>
          </w:tcPr>
          <w:p w:rsidR="00B13F3B" w:rsidRPr="00B12E80" w:rsidP="00B13F3B">
            <w:pPr>
              <w:rPr>
                <w:rFonts w:ascii="Arial" w:eastAsia="Times New Roman" w:hAnsi="Arial" w:cs="Arial"/>
                <w:b/>
                <w:bCs/>
                <w:lang w:eastAsia="en-GB"/>
              </w:rPr>
            </w:pPr>
          </w:p>
        </w:tc>
        <w:tc>
          <w:tcPr>
            <w:tcW w:w="1440" w:type="dxa"/>
            <w:tcBorders>
              <w:top w:val="nil"/>
              <w:left w:val="nil"/>
              <w:bottom w:val="nil"/>
              <w:right w:val="nil"/>
            </w:tcBorders>
            <w:shd w:val="clear" w:color="auto" w:fill="auto"/>
            <w:noWrap/>
            <w:vAlign w:val="center"/>
            <w:hideMark/>
          </w:tcPr>
          <w:p w:rsidR="00B13F3B" w:rsidRPr="00A33A47" w:rsidP="00B13F3B">
            <w:pPr>
              <w:rPr>
                <w:rFonts w:ascii="Times New Roman" w:eastAsia="Times New Roman" w:hAnsi="Times New Roman" w:cs="Times New Roman"/>
                <w:sz w:val="20"/>
                <w:szCs w:val="20"/>
                <w:lang w:eastAsia="en-GB"/>
              </w:rPr>
            </w:pPr>
          </w:p>
        </w:tc>
        <w:tc>
          <w:tcPr>
            <w:tcW w:w="1540" w:type="dxa"/>
            <w:tcBorders>
              <w:top w:val="nil"/>
              <w:left w:val="nil"/>
              <w:bottom w:val="nil"/>
              <w:right w:val="nil"/>
            </w:tcBorders>
            <w:shd w:val="clear" w:color="auto" w:fill="auto"/>
            <w:noWrap/>
            <w:vAlign w:val="center"/>
            <w:hideMark/>
          </w:tcPr>
          <w:p w:rsidR="00B13F3B" w:rsidRPr="00B13F3B" w:rsidP="00B13F3B">
            <w:pPr>
              <w:rPr>
                <w:rFonts w:ascii="Times New Roman" w:eastAsia="Times New Roman" w:hAnsi="Times New Roman" w:cs="Times New Roman"/>
                <w:sz w:val="20"/>
                <w:szCs w:val="20"/>
                <w:lang w:eastAsia="en-GB"/>
              </w:rPr>
            </w:pPr>
          </w:p>
        </w:tc>
        <w:tc>
          <w:tcPr>
            <w:tcW w:w="1243" w:type="dxa"/>
            <w:tcBorders>
              <w:top w:val="nil"/>
              <w:left w:val="nil"/>
              <w:bottom w:val="nil"/>
              <w:right w:val="single" w:sz="4" w:space="0" w:color="auto"/>
            </w:tcBorders>
            <w:shd w:val="clear" w:color="auto" w:fill="auto"/>
            <w:noWrap/>
            <w:vAlign w:val="center"/>
            <w:hideMark/>
          </w:tcPr>
          <w:p w:rsidR="00B13F3B" w:rsidRPr="00B13F3B" w:rsidP="00B13F3B">
            <w:pPr>
              <w:rPr>
                <w:rFonts w:ascii="Arial" w:eastAsia="Times New Roman" w:hAnsi="Arial" w:cs="Arial"/>
                <w:color w:val="000000"/>
                <w:lang w:eastAsia="en-GB"/>
              </w:rPr>
            </w:pPr>
            <w:r w:rsidRPr="00B13F3B">
              <w:rPr>
                <w:rFonts w:ascii="Arial" w:eastAsia="Times New Roman" w:hAnsi="Arial" w:cs="Arial"/>
                <w:color w:val="000000"/>
                <w:lang w:eastAsia="en-GB"/>
              </w:rPr>
              <w:t> </w:t>
            </w:r>
          </w:p>
        </w:tc>
      </w:tr>
      <w:tr w:rsidTr="009B1202">
        <w:tblPrEx>
          <w:tblW w:w="9423" w:type="dxa"/>
          <w:tblLook w:val="04A0"/>
        </w:tblPrEx>
        <w:trPr>
          <w:trHeight w:val="285"/>
        </w:trPr>
        <w:tc>
          <w:tcPr>
            <w:tcW w:w="3760" w:type="dxa"/>
            <w:tcBorders>
              <w:top w:val="single" w:sz="4" w:space="0" w:color="BFBFBF"/>
              <w:left w:val="single" w:sz="4" w:space="0" w:color="auto"/>
              <w:bottom w:val="single" w:sz="4" w:space="0" w:color="BFBFBF"/>
              <w:right w:val="single" w:sz="4" w:space="0" w:color="BFBFBF"/>
            </w:tcBorders>
            <w:shd w:val="clear" w:color="auto" w:fill="auto"/>
            <w:vAlign w:val="center"/>
            <w:hideMark/>
          </w:tcPr>
          <w:p w:rsidR="00B13F3B" w:rsidRPr="00B13F3B" w:rsidP="00B13F3B">
            <w:pPr>
              <w:rPr>
                <w:rFonts w:ascii="Arial" w:eastAsia="Times New Roman" w:hAnsi="Arial" w:cs="Arial"/>
                <w:color w:val="000000"/>
                <w:lang w:eastAsia="en-GB"/>
              </w:rPr>
            </w:pPr>
            <w:r w:rsidRPr="00B13F3B">
              <w:rPr>
                <w:rFonts w:ascii="Arial" w:eastAsia="Times New Roman" w:hAnsi="Arial" w:cs="Arial"/>
                <w:color w:val="000000"/>
                <w:lang w:eastAsia="en-GB"/>
              </w:rPr>
              <w:t>Disabled Facilities Grants</w:t>
            </w:r>
          </w:p>
        </w:tc>
        <w:tc>
          <w:tcPr>
            <w:tcW w:w="1440" w:type="dxa"/>
            <w:tcBorders>
              <w:top w:val="single" w:sz="4" w:space="0" w:color="BFBFBF"/>
              <w:left w:val="nil"/>
              <w:bottom w:val="single" w:sz="4" w:space="0" w:color="BFBFBF"/>
              <w:right w:val="single" w:sz="4" w:space="0" w:color="BFBFBF"/>
            </w:tcBorders>
            <w:shd w:val="clear" w:color="auto" w:fill="auto"/>
            <w:noWrap/>
            <w:vAlign w:val="center"/>
            <w:hideMark/>
          </w:tcPr>
          <w:p w:rsidR="00B13F3B" w:rsidRPr="00B12E80" w:rsidP="00B13F3B">
            <w:pPr>
              <w:jc w:val="right"/>
              <w:rPr>
                <w:rFonts w:ascii="Arial" w:eastAsia="Times New Roman" w:hAnsi="Arial" w:cs="Arial"/>
                <w:color w:val="000000"/>
                <w:lang w:eastAsia="en-GB"/>
              </w:rPr>
            </w:pPr>
          </w:p>
        </w:tc>
        <w:tc>
          <w:tcPr>
            <w:tcW w:w="1440" w:type="dxa"/>
            <w:tcBorders>
              <w:top w:val="single" w:sz="4" w:space="0" w:color="BFBFBF"/>
              <w:left w:val="nil"/>
              <w:bottom w:val="single" w:sz="4" w:space="0" w:color="BFBFBF"/>
              <w:right w:val="single" w:sz="4" w:space="0" w:color="BFBFBF"/>
            </w:tcBorders>
            <w:shd w:val="clear" w:color="auto" w:fill="auto"/>
            <w:noWrap/>
            <w:vAlign w:val="center"/>
            <w:hideMark/>
          </w:tcPr>
          <w:p w:rsidR="00B13F3B" w:rsidRPr="00A33A47" w:rsidP="00B13F3B">
            <w:pPr>
              <w:jc w:val="right"/>
              <w:rPr>
                <w:rFonts w:ascii="Arial" w:eastAsia="Times New Roman" w:hAnsi="Arial" w:cs="Arial"/>
                <w:color w:val="000000"/>
                <w:lang w:eastAsia="en-GB"/>
              </w:rPr>
            </w:pPr>
            <w:r w:rsidRPr="00A33A47">
              <w:rPr>
                <w:rFonts w:ascii="Arial" w:eastAsia="Times New Roman" w:hAnsi="Arial" w:cs="Arial"/>
                <w:color w:val="000000"/>
                <w:lang w:eastAsia="en-GB"/>
              </w:rPr>
              <w:t xml:space="preserve">958 </w:t>
            </w:r>
          </w:p>
        </w:tc>
        <w:tc>
          <w:tcPr>
            <w:tcW w:w="1540" w:type="dxa"/>
            <w:tcBorders>
              <w:top w:val="single" w:sz="4" w:space="0" w:color="BFBFBF"/>
              <w:left w:val="nil"/>
              <w:bottom w:val="single" w:sz="4" w:space="0" w:color="BFBFBF"/>
              <w:right w:val="single" w:sz="4" w:space="0" w:color="BFBFBF"/>
            </w:tcBorders>
            <w:shd w:val="clear" w:color="auto" w:fill="auto"/>
            <w:vAlign w:val="center"/>
            <w:hideMark/>
          </w:tcPr>
          <w:p w:rsidR="00B13F3B" w:rsidRPr="00B13F3B" w:rsidP="00B13F3B">
            <w:pPr>
              <w:jc w:val="center"/>
              <w:rPr>
                <w:rFonts w:ascii="Arial" w:eastAsia="Times New Roman" w:hAnsi="Arial" w:cs="Arial"/>
                <w:color w:val="000000"/>
                <w:lang w:eastAsia="en-GB"/>
              </w:rPr>
            </w:pPr>
            <w:r w:rsidRPr="00B13F3B">
              <w:rPr>
                <w:rFonts w:ascii="Arial" w:eastAsia="Times New Roman" w:hAnsi="Arial" w:cs="Arial"/>
                <w:color w:val="000000"/>
                <w:lang w:eastAsia="en-GB"/>
              </w:rPr>
              <w:t>Council</w:t>
            </w:r>
          </w:p>
        </w:tc>
        <w:tc>
          <w:tcPr>
            <w:tcW w:w="1243" w:type="dxa"/>
            <w:tcBorders>
              <w:top w:val="single" w:sz="4" w:space="0" w:color="BFBFBF"/>
              <w:left w:val="nil"/>
              <w:bottom w:val="single" w:sz="4" w:space="0" w:color="BFBFBF"/>
              <w:right w:val="single" w:sz="4" w:space="0" w:color="auto"/>
            </w:tcBorders>
            <w:shd w:val="clear" w:color="auto" w:fill="auto"/>
            <w:vAlign w:val="center"/>
            <w:hideMark/>
          </w:tcPr>
          <w:p w:rsidR="00B13F3B" w:rsidRPr="00B13F3B" w:rsidP="00B13F3B">
            <w:pPr>
              <w:jc w:val="center"/>
              <w:rPr>
                <w:rFonts w:ascii="Arial" w:eastAsia="Times New Roman" w:hAnsi="Arial" w:cs="Arial"/>
                <w:color w:val="000000"/>
                <w:lang w:eastAsia="en-GB"/>
              </w:rPr>
            </w:pPr>
            <w:r w:rsidRPr="00B13F3B">
              <w:rPr>
                <w:rFonts w:ascii="Arial" w:eastAsia="Times New Roman" w:hAnsi="Arial" w:cs="Arial"/>
                <w:color w:val="000000"/>
                <w:lang w:eastAsia="en-GB"/>
              </w:rPr>
              <w:t>23/02/22</w:t>
            </w:r>
          </w:p>
        </w:tc>
      </w:tr>
      <w:tr w:rsidTr="009B1202">
        <w:tblPrEx>
          <w:tblW w:w="9423" w:type="dxa"/>
          <w:tblLook w:val="04A0"/>
        </w:tblPrEx>
        <w:trPr>
          <w:trHeight w:val="300"/>
        </w:trPr>
        <w:tc>
          <w:tcPr>
            <w:tcW w:w="3760" w:type="dxa"/>
            <w:tcBorders>
              <w:top w:val="nil"/>
              <w:left w:val="single" w:sz="4" w:space="0" w:color="auto"/>
              <w:bottom w:val="nil"/>
              <w:right w:val="nil"/>
            </w:tcBorders>
            <w:shd w:val="clear" w:color="auto" w:fill="auto"/>
            <w:noWrap/>
            <w:vAlign w:val="center"/>
          </w:tcPr>
          <w:p w:rsidR="003B37EE" w:rsidRPr="00B13F3B" w:rsidP="003B37EE">
            <w:pPr>
              <w:rPr>
                <w:rFonts w:ascii="Arial" w:eastAsia="Times New Roman" w:hAnsi="Arial" w:cs="Arial"/>
                <w:b/>
                <w:bCs/>
                <w:color w:val="0070C0"/>
                <w:lang w:eastAsia="en-GB"/>
              </w:rPr>
            </w:pPr>
            <w:r>
              <w:rPr>
                <w:rFonts w:ascii="Arial" w:eastAsia="Times New Roman" w:hAnsi="Arial" w:cs="Arial"/>
                <w:b/>
                <w:bCs/>
                <w:color w:val="0070C0"/>
                <w:lang w:eastAsia="en-GB"/>
              </w:rPr>
              <w:t>A Fair Economy That Works for Everyone</w:t>
            </w:r>
          </w:p>
        </w:tc>
        <w:tc>
          <w:tcPr>
            <w:tcW w:w="1440" w:type="dxa"/>
            <w:tcBorders>
              <w:top w:val="nil"/>
              <w:left w:val="nil"/>
              <w:bottom w:val="nil"/>
              <w:right w:val="nil"/>
            </w:tcBorders>
            <w:shd w:val="clear" w:color="auto" w:fill="auto"/>
            <w:noWrap/>
            <w:vAlign w:val="center"/>
          </w:tcPr>
          <w:p w:rsidR="003B37EE" w:rsidRPr="00B12E80" w:rsidP="003B37EE">
            <w:pPr>
              <w:rPr>
                <w:rFonts w:ascii="Arial" w:eastAsia="Times New Roman" w:hAnsi="Arial" w:cs="Arial"/>
                <w:b/>
                <w:bCs/>
                <w:color w:val="0070C0"/>
                <w:lang w:eastAsia="en-GB"/>
              </w:rPr>
            </w:pPr>
          </w:p>
        </w:tc>
        <w:tc>
          <w:tcPr>
            <w:tcW w:w="1440" w:type="dxa"/>
            <w:tcBorders>
              <w:top w:val="nil"/>
              <w:left w:val="nil"/>
              <w:bottom w:val="nil"/>
              <w:right w:val="nil"/>
            </w:tcBorders>
            <w:shd w:val="clear" w:color="auto" w:fill="auto"/>
            <w:noWrap/>
            <w:vAlign w:val="center"/>
          </w:tcPr>
          <w:p w:rsidR="003B37EE" w:rsidRPr="00A33A47" w:rsidP="003B37EE">
            <w:pPr>
              <w:rPr>
                <w:rFonts w:ascii="Times New Roman" w:eastAsia="Times New Roman" w:hAnsi="Times New Roman" w:cs="Times New Roman"/>
                <w:sz w:val="20"/>
                <w:szCs w:val="20"/>
                <w:lang w:eastAsia="en-GB"/>
              </w:rPr>
            </w:pPr>
          </w:p>
        </w:tc>
        <w:tc>
          <w:tcPr>
            <w:tcW w:w="1540" w:type="dxa"/>
            <w:tcBorders>
              <w:top w:val="nil"/>
              <w:left w:val="nil"/>
              <w:bottom w:val="nil"/>
              <w:right w:val="nil"/>
            </w:tcBorders>
            <w:shd w:val="clear" w:color="auto" w:fill="auto"/>
            <w:noWrap/>
            <w:vAlign w:val="center"/>
          </w:tcPr>
          <w:p w:rsidR="003B37EE" w:rsidRPr="00B13F3B" w:rsidP="003B37EE">
            <w:pPr>
              <w:rPr>
                <w:rFonts w:ascii="Times New Roman" w:eastAsia="Times New Roman" w:hAnsi="Times New Roman" w:cs="Times New Roman"/>
                <w:sz w:val="20"/>
                <w:szCs w:val="20"/>
                <w:lang w:eastAsia="en-GB"/>
              </w:rPr>
            </w:pPr>
          </w:p>
        </w:tc>
        <w:tc>
          <w:tcPr>
            <w:tcW w:w="1243" w:type="dxa"/>
            <w:tcBorders>
              <w:top w:val="nil"/>
              <w:left w:val="nil"/>
              <w:bottom w:val="nil"/>
              <w:right w:val="single" w:sz="4" w:space="0" w:color="auto"/>
            </w:tcBorders>
            <w:shd w:val="clear" w:color="auto" w:fill="auto"/>
            <w:noWrap/>
            <w:vAlign w:val="center"/>
          </w:tcPr>
          <w:p w:rsidR="003B37EE" w:rsidRPr="00B13F3B" w:rsidP="003B37EE">
            <w:pPr>
              <w:rPr>
                <w:rFonts w:ascii="Arial" w:eastAsia="Times New Roman" w:hAnsi="Arial" w:cs="Arial"/>
                <w:color w:val="000000"/>
                <w:lang w:eastAsia="en-GB"/>
              </w:rPr>
            </w:pPr>
            <w:r w:rsidRPr="00B13F3B">
              <w:rPr>
                <w:rFonts w:ascii="Arial" w:eastAsia="Times New Roman" w:hAnsi="Arial" w:cs="Arial"/>
                <w:color w:val="000000"/>
                <w:lang w:eastAsia="en-GB"/>
              </w:rPr>
              <w:t> </w:t>
            </w:r>
          </w:p>
        </w:tc>
      </w:tr>
      <w:tr w:rsidTr="00126CD3">
        <w:tblPrEx>
          <w:tblW w:w="9423" w:type="dxa"/>
          <w:tblLook w:val="04A0"/>
        </w:tblPrEx>
        <w:trPr>
          <w:trHeight w:val="285"/>
        </w:trPr>
        <w:tc>
          <w:tcPr>
            <w:tcW w:w="3760" w:type="dxa"/>
            <w:tcBorders>
              <w:top w:val="single" w:sz="4" w:space="0" w:color="BFBFBF"/>
              <w:left w:val="single" w:sz="4" w:space="0" w:color="auto"/>
              <w:bottom w:val="single" w:sz="4" w:space="0" w:color="BFBFBF"/>
              <w:right w:val="single" w:sz="4" w:space="0" w:color="BFBFBF"/>
            </w:tcBorders>
            <w:shd w:val="clear" w:color="auto" w:fill="auto"/>
            <w:vAlign w:val="center"/>
            <w:hideMark/>
          </w:tcPr>
          <w:p w:rsidR="003B37EE" w:rsidRPr="00B13F3B" w:rsidP="00126CD3">
            <w:pPr>
              <w:rPr>
                <w:rFonts w:ascii="Arial" w:eastAsia="Times New Roman" w:hAnsi="Arial" w:cs="Arial"/>
                <w:color w:val="000000"/>
                <w:lang w:eastAsia="en-GB"/>
              </w:rPr>
            </w:pPr>
            <w:r>
              <w:rPr>
                <w:rFonts w:ascii="Arial" w:eastAsia="Times New Roman" w:hAnsi="Arial" w:cs="Arial"/>
                <w:color w:val="000000"/>
                <w:lang w:eastAsia="en-GB"/>
              </w:rPr>
              <w:t>Towns Fund</w:t>
            </w:r>
          </w:p>
        </w:tc>
        <w:tc>
          <w:tcPr>
            <w:tcW w:w="1440" w:type="dxa"/>
            <w:tcBorders>
              <w:top w:val="single" w:sz="4" w:space="0" w:color="BFBFBF"/>
              <w:left w:val="nil"/>
              <w:bottom w:val="single" w:sz="4" w:space="0" w:color="BFBFBF"/>
              <w:right w:val="single" w:sz="4" w:space="0" w:color="BFBFBF"/>
            </w:tcBorders>
            <w:shd w:val="clear" w:color="auto" w:fill="auto"/>
            <w:noWrap/>
            <w:vAlign w:val="center"/>
            <w:hideMark/>
          </w:tcPr>
          <w:p w:rsidR="003B37EE" w:rsidRPr="00B12E80" w:rsidP="00126CD3">
            <w:pPr>
              <w:jc w:val="right"/>
              <w:rPr>
                <w:rFonts w:ascii="Arial" w:eastAsia="Times New Roman" w:hAnsi="Arial" w:cs="Arial"/>
                <w:color w:val="000000"/>
                <w:lang w:eastAsia="en-GB"/>
              </w:rPr>
            </w:pPr>
            <w:r w:rsidRPr="00B12E80">
              <w:rPr>
                <w:rFonts w:ascii="Arial" w:eastAsia="Times New Roman" w:hAnsi="Arial" w:cs="Arial"/>
                <w:color w:val="000000"/>
                <w:lang w:eastAsia="en-GB"/>
              </w:rPr>
              <w:t>(414)</w:t>
            </w:r>
          </w:p>
        </w:tc>
        <w:tc>
          <w:tcPr>
            <w:tcW w:w="1440" w:type="dxa"/>
            <w:tcBorders>
              <w:top w:val="single" w:sz="4" w:space="0" w:color="BFBFBF"/>
              <w:left w:val="nil"/>
              <w:bottom w:val="single" w:sz="4" w:space="0" w:color="BFBFBF"/>
              <w:right w:val="single" w:sz="4" w:space="0" w:color="BFBFBF"/>
            </w:tcBorders>
            <w:shd w:val="clear" w:color="auto" w:fill="auto"/>
            <w:noWrap/>
            <w:vAlign w:val="center"/>
            <w:hideMark/>
          </w:tcPr>
          <w:p w:rsidR="003B37EE" w:rsidRPr="00A33A47" w:rsidP="00126CD3">
            <w:pPr>
              <w:jc w:val="right"/>
              <w:rPr>
                <w:rFonts w:ascii="Arial" w:eastAsia="Times New Roman" w:hAnsi="Arial" w:cs="Arial"/>
                <w:color w:val="000000"/>
                <w:lang w:eastAsia="en-GB"/>
              </w:rPr>
            </w:pPr>
            <w:r w:rsidRPr="00A33A47">
              <w:rPr>
                <w:rFonts w:ascii="Arial" w:eastAsia="Times New Roman" w:hAnsi="Arial" w:cs="Arial"/>
                <w:color w:val="000000"/>
                <w:lang w:eastAsia="en-GB"/>
              </w:rPr>
              <w:t>32,519</w:t>
            </w:r>
          </w:p>
        </w:tc>
        <w:tc>
          <w:tcPr>
            <w:tcW w:w="1540" w:type="dxa"/>
            <w:tcBorders>
              <w:top w:val="single" w:sz="4" w:space="0" w:color="BFBFBF"/>
              <w:left w:val="nil"/>
              <w:bottom w:val="single" w:sz="4" w:space="0" w:color="BFBFBF"/>
              <w:right w:val="single" w:sz="4" w:space="0" w:color="BFBFBF"/>
            </w:tcBorders>
            <w:shd w:val="clear" w:color="auto" w:fill="auto"/>
            <w:vAlign w:val="center"/>
            <w:hideMark/>
          </w:tcPr>
          <w:p w:rsidR="003B37EE" w:rsidRPr="00B13F3B" w:rsidP="00126CD3">
            <w:pPr>
              <w:jc w:val="center"/>
              <w:rPr>
                <w:rFonts w:ascii="Arial" w:eastAsia="Times New Roman" w:hAnsi="Arial" w:cs="Arial"/>
                <w:color w:val="000000"/>
                <w:lang w:eastAsia="en-GB"/>
              </w:rPr>
            </w:pPr>
            <w:r w:rsidRPr="00B13F3B">
              <w:rPr>
                <w:rFonts w:ascii="Arial" w:eastAsia="Times New Roman" w:hAnsi="Arial" w:cs="Arial"/>
                <w:color w:val="000000"/>
                <w:lang w:eastAsia="en-GB"/>
              </w:rPr>
              <w:t>Council</w:t>
            </w:r>
          </w:p>
        </w:tc>
        <w:tc>
          <w:tcPr>
            <w:tcW w:w="1243" w:type="dxa"/>
            <w:tcBorders>
              <w:top w:val="single" w:sz="4" w:space="0" w:color="BFBFBF"/>
              <w:left w:val="nil"/>
              <w:bottom w:val="single" w:sz="4" w:space="0" w:color="BFBFBF"/>
              <w:right w:val="single" w:sz="4" w:space="0" w:color="auto"/>
            </w:tcBorders>
            <w:shd w:val="clear" w:color="auto" w:fill="auto"/>
            <w:vAlign w:val="center"/>
            <w:hideMark/>
          </w:tcPr>
          <w:p w:rsidR="003B37EE" w:rsidRPr="00B13F3B" w:rsidP="00126CD3">
            <w:pPr>
              <w:jc w:val="center"/>
              <w:rPr>
                <w:rFonts w:ascii="Arial" w:eastAsia="Times New Roman" w:hAnsi="Arial" w:cs="Arial"/>
                <w:color w:val="000000"/>
                <w:lang w:eastAsia="en-GB"/>
              </w:rPr>
            </w:pPr>
            <w:r w:rsidRPr="00B13F3B">
              <w:rPr>
                <w:rFonts w:ascii="Arial" w:eastAsia="Times New Roman" w:hAnsi="Arial" w:cs="Arial"/>
                <w:color w:val="000000"/>
                <w:lang w:eastAsia="en-GB"/>
              </w:rPr>
              <w:t>23/02/22</w:t>
            </w:r>
          </w:p>
        </w:tc>
      </w:tr>
      <w:tr w:rsidTr="009B1202">
        <w:tblPrEx>
          <w:tblW w:w="9423" w:type="dxa"/>
          <w:tblLook w:val="04A0"/>
        </w:tblPrEx>
        <w:trPr>
          <w:trHeight w:val="300"/>
        </w:trPr>
        <w:tc>
          <w:tcPr>
            <w:tcW w:w="3760" w:type="dxa"/>
            <w:tcBorders>
              <w:top w:val="nil"/>
              <w:left w:val="single" w:sz="4" w:space="0" w:color="auto"/>
              <w:bottom w:val="nil"/>
              <w:right w:val="nil"/>
            </w:tcBorders>
            <w:shd w:val="clear" w:color="auto" w:fill="auto"/>
            <w:noWrap/>
            <w:vAlign w:val="center"/>
            <w:hideMark/>
          </w:tcPr>
          <w:p w:rsidR="003B37EE" w:rsidRPr="00B13F3B" w:rsidP="003B37EE">
            <w:pPr>
              <w:rPr>
                <w:rFonts w:ascii="Arial" w:eastAsia="Times New Roman" w:hAnsi="Arial" w:cs="Arial"/>
                <w:b/>
                <w:bCs/>
                <w:color w:val="0070C0"/>
                <w:lang w:eastAsia="en-GB"/>
              </w:rPr>
            </w:pPr>
            <w:r w:rsidRPr="00B13F3B">
              <w:rPr>
                <w:rFonts w:ascii="Arial" w:eastAsia="Times New Roman" w:hAnsi="Arial" w:cs="Arial"/>
                <w:b/>
                <w:bCs/>
                <w:color w:val="0070C0"/>
                <w:lang w:eastAsia="en-GB"/>
              </w:rPr>
              <w:t>Thriving Communities</w:t>
            </w:r>
          </w:p>
        </w:tc>
        <w:tc>
          <w:tcPr>
            <w:tcW w:w="1440" w:type="dxa"/>
            <w:tcBorders>
              <w:top w:val="nil"/>
              <w:left w:val="nil"/>
              <w:bottom w:val="nil"/>
              <w:right w:val="nil"/>
            </w:tcBorders>
            <w:shd w:val="clear" w:color="auto" w:fill="auto"/>
            <w:noWrap/>
            <w:vAlign w:val="center"/>
            <w:hideMark/>
          </w:tcPr>
          <w:p w:rsidR="003B37EE" w:rsidRPr="00B12E80" w:rsidP="003B37EE">
            <w:pPr>
              <w:rPr>
                <w:rFonts w:ascii="Arial" w:eastAsia="Times New Roman" w:hAnsi="Arial" w:cs="Arial"/>
                <w:b/>
                <w:bCs/>
                <w:color w:val="0070C0"/>
                <w:lang w:eastAsia="en-GB"/>
              </w:rPr>
            </w:pPr>
          </w:p>
        </w:tc>
        <w:tc>
          <w:tcPr>
            <w:tcW w:w="1440" w:type="dxa"/>
            <w:tcBorders>
              <w:top w:val="nil"/>
              <w:left w:val="nil"/>
              <w:bottom w:val="nil"/>
              <w:right w:val="nil"/>
            </w:tcBorders>
            <w:shd w:val="clear" w:color="auto" w:fill="auto"/>
            <w:noWrap/>
            <w:vAlign w:val="center"/>
            <w:hideMark/>
          </w:tcPr>
          <w:p w:rsidR="003B37EE" w:rsidRPr="00B13F3B" w:rsidP="003B37EE">
            <w:pPr>
              <w:rPr>
                <w:rFonts w:ascii="Times New Roman" w:eastAsia="Times New Roman" w:hAnsi="Times New Roman" w:cs="Times New Roman"/>
                <w:sz w:val="20"/>
                <w:szCs w:val="20"/>
                <w:lang w:eastAsia="en-GB"/>
              </w:rPr>
            </w:pPr>
          </w:p>
        </w:tc>
        <w:tc>
          <w:tcPr>
            <w:tcW w:w="1540" w:type="dxa"/>
            <w:tcBorders>
              <w:top w:val="nil"/>
              <w:left w:val="nil"/>
              <w:bottom w:val="nil"/>
              <w:right w:val="nil"/>
            </w:tcBorders>
            <w:shd w:val="clear" w:color="auto" w:fill="auto"/>
            <w:noWrap/>
            <w:vAlign w:val="center"/>
            <w:hideMark/>
          </w:tcPr>
          <w:p w:rsidR="003B37EE" w:rsidRPr="00B13F3B" w:rsidP="003B37EE">
            <w:pPr>
              <w:rPr>
                <w:rFonts w:ascii="Times New Roman" w:eastAsia="Times New Roman" w:hAnsi="Times New Roman" w:cs="Times New Roman"/>
                <w:sz w:val="20"/>
                <w:szCs w:val="20"/>
                <w:lang w:eastAsia="en-GB"/>
              </w:rPr>
            </w:pPr>
          </w:p>
        </w:tc>
        <w:tc>
          <w:tcPr>
            <w:tcW w:w="1243" w:type="dxa"/>
            <w:tcBorders>
              <w:top w:val="nil"/>
              <w:left w:val="nil"/>
              <w:bottom w:val="nil"/>
              <w:right w:val="single" w:sz="4" w:space="0" w:color="auto"/>
            </w:tcBorders>
            <w:shd w:val="clear" w:color="auto" w:fill="auto"/>
            <w:noWrap/>
            <w:vAlign w:val="center"/>
            <w:hideMark/>
          </w:tcPr>
          <w:p w:rsidR="003B37EE" w:rsidRPr="00B13F3B" w:rsidP="003B37EE">
            <w:pPr>
              <w:rPr>
                <w:rFonts w:ascii="Arial" w:eastAsia="Times New Roman" w:hAnsi="Arial" w:cs="Arial"/>
                <w:color w:val="000000"/>
                <w:lang w:eastAsia="en-GB"/>
              </w:rPr>
            </w:pPr>
            <w:r w:rsidRPr="00B13F3B">
              <w:rPr>
                <w:rFonts w:ascii="Arial" w:eastAsia="Times New Roman" w:hAnsi="Arial" w:cs="Arial"/>
                <w:color w:val="000000"/>
                <w:lang w:eastAsia="en-GB"/>
              </w:rPr>
              <w:t> </w:t>
            </w:r>
          </w:p>
        </w:tc>
      </w:tr>
      <w:tr w:rsidTr="009B1202">
        <w:tblPrEx>
          <w:tblW w:w="9423" w:type="dxa"/>
          <w:tblLook w:val="04A0"/>
        </w:tblPrEx>
        <w:trPr>
          <w:trHeight w:val="285"/>
        </w:trPr>
        <w:tc>
          <w:tcPr>
            <w:tcW w:w="3760" w:type="dxa"/>
            <w:tcBorders>
              <w:top w:val="single" w:sz="4" w:space="0" w:color="BFBFBF"/>
              <w:left w:val="single" w:sz="4" w:space="0" w:color="auto"/>
              <w:bottom w:val="single" w:sz="4" w:space="0" w:color="BFBFBF"/>
              <w:right w:val="single" w:sz="4" w:space="0" w:color="BFBFBF"/>
            </w:tcBorders>
            <w:shd w:val="clear" w:color="auto" w:fill="auto"/>
            <w:vAlign w:val="center"/>
            <w:hideMark/>
          </w:tcPr>
          <w:p w:rsidR="003B37EE" w:rsidRPr="00B13F3B" w:rsidP="003B37EE">
            <w:pPr>
              <w:rPr>
                <w:rFonts w:ascii="Arial" w:eastAsia="Times New Roman" w:hAnsi="Arial" w:cs="Arial"/>
                <w:color w:val="000000"/>
                <w:lang w:eastAsia="en-GB"/>
              </w:rPr>
            </w:pPr>
            <w:r w:rsidRPr="00B13F3B">
              <w:rPr>
                <w:rFonts w:ascii="Arial" w:eastAsia="Times New Roman" w:hAnsi="Arial" w:cs="Arial"/>
                <w:color w:val="000000"/>
                <w:lang w:eastAsia="en-GB"/>
              </w:rPr>
              <w:t xml:space="preserve">Vernon </w:t>
            </w:r>
            <w:r w:rsidRPr="00B13F3B">
              <w:rPr>
                <w:rFonts w:ascii="Arial" w:eastAsia="Times New Roman" w:hAnsi="Arial" w:cs="Arial"/>
                <w:color w:val="000000"/>
                <w:lang w:eastAsia="en-GB"/>
              </w:rPr>
              <w:t>Carus</w:t>
            </w:r>
            <w:r w:rsidRPr="00B13F3B">
              <w:rPr>
                <w:rFonts w:ascii="Arial" w:eastAsia="Times New Roman" w:hAnsi="Arial" w:cs="Arial"/>
                <w:color w:val="000000"/>
                <w:lang w:eastAsia="en-GB"/>
              </w:rPr>
              <w:t xml:space="preserve"> Sports Club</w:t>
            </w:r>
          </w:p>
        </w:tc>
        <w:tc>
          <w:tcPr>
            <w:tcW w:w="1440" w:type="dxa"/>
            <w:tcBorders>
              <w:top w:val="single" w:sz="4" w:space="0" w:color="BFBFBF"/>
              <w:left w:val="nil"/>
              <w:bottom w:val="single" w:sz="4" w:space="0" w:color="BFBFBF"/>
              <w:right w:val="single" w:sz="4" w:space="0" w:color="BFBFBF"/>
            </w:tcBorders>
            <w:shd w:val="clear" w:color="auto" w:fill="auto"/>
            <w:noWrap/>
            <w:vAlign w:val="center"/>
            <w:hideMark/>
          </w:tcPr>
          <w:p w:rsidR="003B37EE" w:rsidRPr="00B12E80" w:rsidP="003B37EE">
            <w:pPr>
              <w:jc w:val="right"/>
              <w:rPr>
                <w:rFonts w:ascii="Arial" w:eastAsia="Times New Roman" w:hAnsi="Arial" w:cs="Arial"/>
                <w:color w:val="000000"/>
                <w:lang w:eastAsia="en-GB"/>
              </w:rPr>
            </w:pPr>
            <w:r w:rsidRPr="00B12E80">
              <w:rPr>
                <w:rFonts w:ascii="Arial" w:eastAsia="Times New Roman" w:hAnsi="Arial" w:cs="Arial"/>
                <w:color w:val="000000"/>
                <w:lang w:eastAsia="en-GB"/>
              </w:rPr>
              <w:t xml:space="preserve">90 </w:t>
            </w:r>
          </w:p>
        </w:tc>
        <w:tc>
          <w:tcPr>
            <w:tcW w:w="1440" w:type="dxa"/>
            <w:tcBorders>
              <w:top w:val="single" w:sz="4" w:space="0" w:color="BFBFBF"/>
              <w:left w:val="nil"/>
              <w:bottom w:val="single" w:sz="4" w:space="0" w:color="BFBFBF"/>
              <w:right w:val="single" w:sz="4" w:space="0" w:color="BFBFBF"/>
            </w:tcBorders>
            <w:shd w:val="clear" w:color="auto" w:fill="auto"/>
            <w:noWrap/>
            <w:vAlign w:val="center"/>
            <w:hideMark/>
          </w:tcPr>
          <w:p w:rsidR="003B37EE" w:rsidRPr="00B13F3B" w:rsidP="003B37EE">
            <w:pPr>
              <w:rPr>
                <w:rFonts w:ascii="Arial" w:eastAsia="Times New Roman" w:hAnsi="Arial" w:cs="Arial"/>
                <w:color w:val="000000"/>
                <w:lang w:eastAsia="en-GB"/>
              </w:rPr>
            </w:pPr>
            <w:r w:rsidRPr="00B13F3B">
              <w:rPr>
                <w:rFonts w:ascii="Arial" w:eastAsia="Times New Roman" w:hAnsi="Arial" w:cs="Arial"/>
                <w:color w:val="000000"/>
                <w:lang w:eastAsia="en-GB"/>
              </w:rPr>
              <w:t> </w:t>
            </w:r>
          </w:p>
        </w:tc>
        <w:tc>
          <w:tcPr>
            <w:tcW w:w="1540" w:type="dxa"/>
            <w:tcBorders>
              <w:top w:val="single" w:sz="4" w:space="0" w:color="BFBFBF"/>
              <w:left w:val="nil"/>
              <w:bottom w:val="single" w:sz="4" w:space="0" w:color="BFBFBF"/>
              <w:right w:val="single" w:sz="4" w:space="0" w:color="BFBFBF"/>
            </w:tcBorders>
            <w:shd w:val="clear" w:color="auto" w:fill="auto"/>
            <w:vAlign w:val="center"/>
            <w:hideMark/>
          </w:tcPr>
          <w:p w:rsidR="003B37EE" w:rsidRPr="00B13F3B" w:rsidP="003B37EE">
            <w:pPr>
              <w:jc w:val="center"/>
              <w:rPr>
                <w:rFonts w:ascii="Arial" w:eastAsia="Times New Roman" w:hAnsi="Arial" w:cs="Arial"/>
                <w:color w:val="000000"/>
                <w:lang w:eastAsia="en-GB"/>
              </w:rPr>
            </w:pPr>
            <w:r w:rsidRPr="00DF73A5">
              <w:t>Cabinet</w:t>
            </w:r>
          </w:p>
        </w:tc>
        <w:tc>
          <w:tcPr>
            <w:tcW w:w="1243" w:type="dxa"/>
            <w:tcBorders>
              <w:top w:val="single" w:sz="4" w:space="0" w:color="BFBFBF"/>
              <w:left w:val="nil"/>
              <w:bottom w:val="single" w:sz="4" w:space="0" w:color="BFBFBF"/>
              <w:right w:val="single" w:sz="4" w:space="0" w:color="auto"/>
            </w:tcBorders>
            <w:shd w:val="clear" w:color="auto" w:fill="auto"/>
            <w:vAlign w:val="center"/>
            <w:hideMark/>
          </w:tcPr>
          <w:p w:rsidR="003B37EE" w:rsidRPr="00B13F3B" w:rsidP="003B37EE">
            <w:pPr>
              <w:jc w:val="center"/>
              <w:rPr>
                <w:rFonts w:ascii="Arial" w:eastAsia="Times New Roman" w:hAnsi="Arial" w:cs="Arial"/>
                <w:color w:val="000000"/>
                <w:lang w:eastAsia="en-GB"/>
              </w:rPr>
            </w:pPr>
            <w:r w:rsidRPr="00DF73A5">
              <w:t>17/11/21</w:t>
            </w:r>
          </w:p>
        </w:tc>
      </w:tr>
      <w:tr w:rsidTr="009B1202">
        <w:tblPrEx>
          <w:tblW w:w="9423" w:type="dxa"/>
          <w:tblLook w:val="04A0"/>
        </w:tblPrEx>
        <w:trPr>
          <w:trHeight w:val="285"/>
        </w:trPr>
        <w:tc>
          <w:tcPr>
            <w:tcW w:w="3760" w:type="dxa"/>
            <w:tcBorders>
              <w:top w:val="nil"/>
              <w:left w:val="single" w:sz="4" w:space="0" w:color="auto"/>
              <w:bottom w:val="single" w:sz="4" w:space="0" w:color="BFBFBF"/>
              <w:right w:val="single" w:sz="4" w:space="0" w:color="BFBFBF"/>
            </w:tcBorders>
            <w:shd w:val="clear" w:color="auto" w:fill="auto"/>
            <w:vAlign w:val="center"/>
            <w:hideMark/>
          </w:tcPr>
          <w:p w:rsidR="003B37EE" w:rsidRPr="00B13F3B" w:rsidP="003B37EE">
            <w:pPr>
              <w:rPr>
                <w:rFonts w:ascii="Arial" w:eastAsia="Times New Roman" w:hAnsi="Arial" w:cs="Arial"/>
                <w:color w:val="000000"/>
                <w:lang w:eastAsia="en-GB"/>
              </w:rPr>
            </w:pPr>
            <w:r w:rsidRPr="002817C8">
              <w:rPr>
                <w:rFonts w:ascii="Arial" w:eastAsia="Times New Roman" w:hAnsi="Arial" w:cs="Arial"/>
                <w:color w:val="000000"/>
                <w:lang w:eastAsia="en-GB"/>
              </w:rPr>
              <w:t xml:space="preserve">Leisure Local (transfer to Vernon </w:t>
            </w:r>
            <w:r w:rsidRPr="002817C8">
              <w:rPr>
                <w:rFonts w:ascii="Arial" w:eastAsia="Times New Roman" w:hAnsi="Arial" w:cs="Arial"/>
                <w:color w:val="000000"/>
                <w:lang w:eastAsia="en-GB"/>
              </w:rPr>
              <w:t>Carus</w:t>
            </w:r>
            <w:r w:rsidRPr="002817C8">
              <w:rPr>
                <w:rFonts w:ascii="Arial" w:eastAsia="Times New Roman" w:hAnsi="Arial" w:cs="Arial"/>
                <w:color w:val="000000"/>
                <w:lang w:eastAsia="en-GB"/>
              </w:rPr>
              <w:t>)</w:t>
            </w:r>
          </w:p>
        </w:tc>
        <w:tc>
          <w:tcPr>
            <w:tcW w:w="1440" w:type="dxa"/>
            <w:tcBorders>
              <w:top w:val="nil"/>
              <w:left w:val="nil"/>
              <w:bottom w:val="single" w:sz="4" w:space="0" w:color="BFBFBF"/>
              <w:right w:val="single" w:sz="4" w:space="0" w:color="BFBFBF"/>
            </w:tcBorders>
            <w:shd w:val="clear" w:color="auto" w:fill="auto"/>
            <w:noWrap/>
            <w:vAlign w:val="center"/>
            <w:hideMark/>
          </w:tcPr>
          <w:p w:rsidR="003B37EE" w:rsidRPr="00B12E80" w:rsidP="00B12E80">
            <w:pPr>
              <w:jc w:val="right"/>
              <w:rPr>
                <w:rFonts w:ascii="Arial" w:eastAsia="Times New Roman" w:hAnsi="Arial" w:cs="Arial"/>
                <w:color w:val="000000"/>
                <w:lang w:eastAsia="en-GB"/>
              </w:rPr>
            </w:pPr>
            <w:r w:rsidRPr="00B12E80">
              <w:rPr>
                <w:rFonts w:ascii="Arial" w:eastAsia="Times New Roman" w:hAnsi="Arial" w:cs="Arial"/>
                <w:color w:val="000000"/>
                <w:lang w:eastAsia="en-GB"/>
              </w:rPr>
              <w:t> (15)</w:t>
            </w:r>
          </w:p>
        </w:tc>
        <w:tc>
          <w:tcPr>
            <w:tcW w:w="1440" w:type="dxa"/>
            <w:tcBorders>
              <w:top w:val="nil"/>
              <w:left w:val="nil"/>
              <w:bottom w:val="single" w:sz="4" w:space="0" w:color="BFBFBF"/>
              <w:right w:val="single" w:sz="4" w:space="0" w:color="BFBFBF"/>
            </w:tcBorders>
            <w:shd w:val="clear" w:color="auto" w:fill="auto"/>
            <w:noWrap/>
            <w:vAlign w:val="center"/>
            <w:hideMark/>
          </w:tcPr>
          <w:p w:rsidR="003B37EE" w:rsidRPr="00B13F3B" w:rsidP="003B37EE">
            <w:pPr>
              <w:jc w:val="right"/>
              <w:rPr>
                <w:rFonts w:ascii="Arial" w:eastAsia="Times New Roman" w:hAnsi="Arial" w:cs="Arial"/>
                <w:color w:val="000000"/>
                <w:lang w:eastAsia="en-GB"/>
              </w:rPr>
            </w:pPr>
          </w:p>
        </w:tc>
        <w:tc>
          <w:tcPr>
            <w:tcW w:w="1540" w:type="dxa"/>
            <w:tcBorders>
              <w:top w:val="nil"/>
              <w:left w:val="nil"/>
              <w:bottom w:val="single" w:sz="4" w:space="0" w:color="BFBFBF"/>
              <w:right w:val="single" w:sz="4" w:space="0" w:color="BFBFBF"/>
            </w:tcBorders>
            <w:shd w:val="clear" w:color="auto" w:fill="auto"/>
            <w:vAlign w:val="center"/>
            <w:hideMark/>
          </w:tcPr>
          <w:p w:rsidR="003B37EE" w:rsidRPr="00B13F3B" w:rsidP="003B37EE">
            <w:pPr>
              <w:jc w:val="center"/>
              <w:rPr>
                <w:rFonts w:ascii="Arial" w:eastAsia="Times New Roman" w:hAnsi="Arial" w:cs="Arial"/>
                <w:color w:val="000000"/>
                <w:lang w:eastAsia="en-GB"/>
              </w:rPr>
            </w:pPr>
            <w:r w:rsidRPr="00DF73A5">
              <w:t>EMD</w:t>
            </w:r>
          </w:p>
        </w:tc>
        <w:tc>
          <w:tcPr>
            <w:tcW w:w="1243" w:type="dxa"/>
            <w:tcBorders>
              <w:top w:val="nil"/>
              <w:left w:val="nil"/>
              <w:bottom w:val="single" w:sz="4" w:space="0" w:color="BFBFBF"/>
              <w:right w:val="single" w:sz="4" w:space="0" w:color="auto"/>
            </w:tcBorders>
            <w:shd w:val="clear" w:color="auto" w:fill="auto"/>
            <w:vAlign w:val="center"/>
            <w:hideMark/>
          </w:tcPr>
          <w:p w:rsidR="003B37EE" w:rsidRPr="00B13F3B" w:rsidP="003B37EE">
            <w:pPr>
              <w:jc w:val="center"/>
              <w:rPr>
                <w:rFonts w:ascii="Arial" w:eastAsia="Times New Roman" w:hAnsi="Arial" w:cs="Arial"/>
                <w:color w:val="000000"/>
                <w:lang w:eastAsia="en-GB"/>
              </w:rPr>
            </w:pPr>
            <w:r w:rsidRPr="00DF73A5">
              <w:t>10/01/22</w:t>
            </w:r>
          </w:p>
        </w:tc>
      </w:tr>
      <w:tr w:rsidTr="009B1202">
        <w:tblPrEx>
          <w:tblW w:w="9423" w:type="dxa"/>
          <w:tblLook w:val="04A0"/>
        </w:tblPrEx>
        <w:trPr>
          <w:trHeight w:val="300"/>
        </w:trPr>
        <w:tc>
          <w:tcPr>
            <w:tcW w:w="3760" w:type="dxa"/>
            <w:tcBorders>
              <w:top w:val="nil"/>
              <w:left w:val="single" w:sz="4" w:space="0" w:color="auto"/>
              <w:bottom w:val="nil"/>
              <w:right w:val="nil"/>
            </w:tcBorders>
            <w:shd w:val="clear" w:color="auto" w:fill="auto"/>
            <w:noWrap/>
            <w:vAlign w:val="center"/>
            <w:hideMark/>
          </w:tcPr>
          <w:p w:rsidR="003B37EE" w:rsidRPr="00B13F3B" w:rsidP="003B37EE">
            <w:pPr>
              <w:rPr>
                <w:rFonts w:ascii="Arial" w:eastAsia="Times New Roman" w:hAnsi="Arial" w:cs="Arial"/>
                <w:b/>
                <w:bCs/>
                <w:color w:val="0070C0"/>
                <w:lang w:eastAsia="en-GB"/>
              </w:rPr>
            </w:pPr>
            <w:r w:rsidRPr="00B13F3B">
              <w:rPr>
                <w:rFonts w:ascii="Arial" w:eastAsia="Times New Roman" w:hAnsi="Arial" w:cs="Arial"/>
                <w:b/>
                <w:bCs/>
                <w:color w:val="0070C0"/>
                <w:lang w:eastAsia="en-GB"/>
              </w:rPr>
              <w:t>An exemplary council</w:t>
            </w:r>
          </w:p>
        </w:tc>
        <w:tc>
          <w:tcPr>
            <w:tcW w:w="1440" w:type="dxa"/>
            <w:tcBorders>
              <w:top w:val="nil"/>
              <w:left w:val="nil"/>
              <w:bottom w:val="nil"/>
              <w:right w:val="nil"/>
            </w:tcBorders>
            <w:shd w:val="clear" w:color="auto" w:fill="auto"/>
            <w:noWrap/>
            <w:vAlign w:val="center"/>
            <w:hideMark/>
          </w:tcPr>
          <w:p w:rsidR="003B37EE" w:rsidRPr="00B12E80" w:rsidP="003B37EE">
            <w:pPr>
              <w:rPr>
                <w:rFonts w:ascii="Arial" w:eastAsia="Times New Roman" w:hAnsi="Arial" w:cs="Arial"/>
                <w:b/>
                <w:bCs/>
                <w:color w:val="0070C0"/>
                <w:lang w:eastAsia="en-GB"/>
              </w:rPr>
            </w:pPr>
          </w:p>
        </w:tc>
        <w:tc>
          <w:tcPr>
            <w:tcW w:w="1440" w:type="dxa"/>
            <w:tcBorders>
              <w:top w:val="nil"/>
              <w:left w:val="nil"/>
              <w:bottom w:val="nil"/>
              <w:right w:val="nil"/>
            </w:tcBorders>
            <w:shd w:val="clear" w:color="auto" w:fill="auto"/>
            <w:noWrap/>
            <w:vAlign w:val="center"/>
            <w:hideMark/>
          </w:tcPr>
          <w:p w:rsidR="003B37EE" w:rsidRPr="00B13F3B" w:rsidP="003B37EE">
            <w:pPr>
              <w:rPr>
                <w:rFonts w:ascii="Times New Roman" w:eastAsia="Times New Roman" w:hAnsi="Times New Roman" w:cs="Times New Roman"/>
                <w:sz w:val="20"/>
                <w:szCs w:val="20"/>
                <w:lang w:eastAsia="en-GB"/>
              </w:rPr>
            </w:pPr>
          </w:p>
        </w:tc>
        <w:tc>
          <w:tcPr>
            <w:tcW w:w="1540" w:type="dxa"/>
            <w:tcBorders>
              <w:top w:val="nil"/>
              <w:left w:val="nil"/>
              <w:bottom w:val="nil"/>
              <w:right w:val="nil"/>
            </w:tcBorders>
            <w:shd w:val="clear" w:color="auto" w:fill="auto"/>
            <w:noWrap/>
            <w:vAlign w:val="center"/>
            <w:hideMark/>
          </w:tcPr>
          <w:p w:rsidR="003B37EE" w:rsidRPr="00B13F3B" w:rsidP="003B37EE">
            <w:pPr>
              <w:rPr>
                <w:rFonts w:ascii="Times New Roman" w:eastAsia="Times New Roman" w:hAnsi="Times New Roman" w:cs="Times New Roman"/>
                <w:sz w:val="20"/>
                <w:szCs w:val="20"/>
                <w:lang w:eastAsia="en-GB"/>
              </w:rPr>
            </w:pPr>
          </w:p>
        </w:tc>
        <w:tc>
          <w:tcPr>
            <w:tcW w:w="1243" w:type="dxa"/>
            <w:tcBorders>
              <w:top w:val="nil"/>
              <w:left w:val="nil"/>
              <w:bottom w:val="nil"/>
              <w:right w:val="single" w:sz="4" w:space="0" w:color="auto"/>
            </w:tcBorders>
            <w:shd w:val="clear" w:color="auto" w:fill="auto"/>
            <w:noWrap/>
            <w:vAlign w:val="center"/>
            <w:hideMark/>
          </w:tcPr>
          <w:p w:rsidR="003B37EE" w:rsidRPr="00B13F3B" w:rsidP="003B37EE">
            <w:pPr>
              <w:rPr>
                <w:rFonts w:ascii="Arial" w:eastAsia="Times New Roman" w:hAnsi="Arial" w:cs="Arial"/>
                <w:color w:val="000000"/>
                <w:lang w:eastAsia="en-GB"/>
              </w:rPr>
            </w:pPr>
            <w:r w:rsidRPr="00B13F3B">
              <w:rPr>
                <w:rFonts w:ascii="Arial" w:eastAsia="Times New Roman" w:hAnsi="Arial" w:cs="Arial"/>
                <w:color w:val="000000"/>
                <w:lang w:eastAsia="en-GB"/>
              </w:rPr>
              <w:t> </w:t>
            </w:r>
          </w:p>
        </w:tc>
      </w:tr>
      <w:tr w:rsidTr="00896313">
        <w:tblPrEx>
          <w:tblW w:w="9423" w:type="dxa"/>
          <w:tblLook w:val="04A0"/>
        </w:tblPrEx>
        <w:trPr>
          <w:trHeight w:val="855"/>
        </w:trPr>
        <w:tc>
          <w:tcPr>
            <w:tcW w:w="3760" w:type="dxa"/>
            <w:tcBorders>
              <w:top w:val="single" w:sz="4" w:space="0" w:color="BFBFBF"/>
              <w:left w:val="single" w:sz="4" w:space="0" w:color="auto"/>
              <w:bottom w:val="single" w:sz="4" w:space="0" w:color="auto"/>
              <w:right w:val="single" w:sz="4" w:space="0" w:color="BFBFBF"/>
            </w:tcBorders>
            <w:shd w:val="clear" w:color="auto" w:fill="auto"/>
            <w:vAlign w:val="center"/>
            <w:hideMark/>
          </w:tcPr>
          <w:p w:rsidR="003B37EE" w:rsidRPr="00B13F3B" w:rsidP="003B37EE">
            <w:pPr>
              <w:rPr>
                <w:rFonts w:ascii="Arial" w:eastAsia="Times New Roman" w:hAnsi="Arial" w:cs="Arial"/>
                <w:color w:val="000000"/>
                <w:lang w:eastAsia="en-GB"/>
              </w:rPr>
            </w:pPr>
            <w:r>
              <w:rPr>
                <w:rFonts w:ascii="Arial" w:eastAsia="Times New Roman" w:hAnsi="Arial" w:cs="Arial"/>
                <w:color w:val="000000"/>
                <w:lang w:eastAsia="en-GB"/>
              </w:rPr>
              <w:t xml:space="preserve">IT </w:t>
            </w:r>
            <w:r w:rsidRPr="00B13F3B">
              <w:rPr>
                <w:rFonts w:ascii="Arial" w:eastAsia="Times New Roman" w:hAnsi="Arial" w:cs="Arial"/>
                <w:color w:val="000000"/>
                <w:lang w:eastAsia="en-GB"/>
              </w:rPr>
              <w:t>Mobile Devices, Citrix, CCTV, Software and Cloud-based upgrades</w:t>
            </w:r>
          </w:p>
        </w:tc>
        <w:tc>
          <w:tcPr>
            <w:tcW w:w="1440" w:type="dxa"/>
            <w:tcBorders>
              <w:top w:val="single" w:sz="4" w:space="0" w:color="BFBFBF"/>
              <w:left w:val="nil"/>
              <w:bottom w:val="single" w:sz="4" w:space="0" w:color="auto"/>
              <w:right w:val="single" w:sz="4" w:space="0" w:color="BFBFBF"/>
            </w:tcBorders>
            <w:shd w:val="clear" w:color="auto" w:fill="auto"/>
            <w:noWrap/>
            <w:vAlign w:val="center"/>
            <w:hideMark/>
          </w:tcPr>
          <w:p w:rsidR="003B37EE" w:rsidRPr="00B12E80" w:rsidP="003B37EE">
            <w:pPr>
              <w:jc w:val="right"/>
              <w:rPr>
                <w:rFonts w:ascii="Arial" w:eastAsia="Times New Roman" w:hAnsi="Arial" w:cs="Arial"/>
                <w:color w:val="000000"/>
                <w:lang w:eastAsia="en-GB"/>
              </w:rPr>
            </w:pPr>
            <w:r w:rsidRPr="00B12E80">
              <w:rPr>
                <w:rFonts w:ascii="Arial" w:eastAsia="Times New Roman" w:hAnsi="Arial" w:cs="Arial"/>
                <w:color w:val="000000"/>
                <w:lang w:eastAsia="en-GB"/>
              </w:rPr>
              <w:t xml:space="preserve">100 </w:t>
            </w:r>
          </w:p>
        </w:tc>
        <w:tc>
          <w:tcPr>
            <w:tcW w:w="1440" w:type="dxa"/>
            <w:tcBorders>
              <w:top w:val="single" w:sz="4" w:space="0" w:color="BFBFBF"/>
              <w:left w:val="nil"/>
              <w:bottom w:val="single" w:sz="4" w:space="0" w:color="auto"/>
              <w:right w:val="single" w:sz="4" w:space="0" w:color="BFBFBF"/>
            </w:tcBorders>
            <w:shd w:val="clear" w:color="auto" w:fill="auto"/>
            <w:noWrap/>
            <w:vAlign w:val="center"/>
            <w:hideMark/>
          </w:tcPr>
          <w:p w:rsidR="003B37EE" w:rsidRPr="00B13F3B" w:rsidP="003B37EE">
            <w:pPr>
              <w:jc w:val="right"/>
              <w:rPr>
                <w:rFonts w:ascii="Arial" w:eastAsia="Times New Roman" w:hAnsi="Arial" w:cs="Arial"/>
                <w:color w:val="000000"/>
                <w:lang w:eastAsia="en-GB"/>
              </w:rPr>
            </w:pPr>
            <w:r w:rsidRPr="00B13F3B">
              <w:rPr>
                <w:rFonts w:ascii="Arial" w:eastAsia="Times New Roman" w:hAnsi="Arial" w:cs="Arial"/>
                <w:color w:val="000000"/>
                <w:lang w:eastAsia="en-GB"/>
              </w:rPr>
              <w:t xml:space="preserve">870 </w:t>
            </w:r>
          </w:p>
        </w:tc>
        <w:tc>
          <w:tcPr>
            <w:tcW w:w="1540" w:type="dxa"/>
            <w:tcBorders>
              <w:top w:val="single" w:sz="4" w:space="0" w:color="BFBFBF"/>
              <w:left w:val="nil"/>
              <w:bottom w:val="single" w:sz="4" w:space="0" w:color="auto"/>
              <w:right w:val="single" w:sz="4" w:space="0" w:color="BFBFBF"/>
            </w:tcBorders>
            <w:shd w:val="clear" w:color="auto" w:fill="auto"/>
            <w:vAlign w:val="center"/>
            <w:hideMark/>
          </w:tcPr>
          <w:p w:rsidR="003B37EE" w:rsidRPr="00B13F3B" w:rsidP="003B37EE">
            <w:pPr>
              <w:jc w:val="center"/>
              <w:rPr>
                <w:rFonts w:ascii="Arial" w:eastAsia="Times New Roman" w:hAnsi="Arial" w:cs="Arial"/>
                <w:color w:val="000000"/>
                <w:lang w:eastAsia="en-GB"/>
              </w:rPr>
            </w:pPr>
            <w:r w:rsidRPr="00B13F3B">
              <w:rPr>
                <w:rFonts w:ascii="Arial" w:eastAsia="Times New Roman" w:hAnsi="Arial" w:cs="Arial"/>
                <w:color w:val="000000"/>
                <w:lang w:eastAsia="en-GB"/>
              </w:rPr>
              <w:t>Council</w:t>
            </w:r>
          </w:p>
        </w:tc>
        <w:tc>
          <w:tcPr>
            <w:tcW w:w="1243" w:type="dxa"/>
            <w:tcBorders>
              <w:top w:val="single" w:sz="4" w:space="0" w:color="BFBFBF"/>
              <w:left w:val="nil"/>
              <w:bottom w:val="single" w:sz="4" w:space="0" w:color="auto"/>
              <w:right w:val="single" w:sz="4" w:space="0" w:color="auto"/>
            </w:tcBorders>
            <w:shd w:val="clear" w:color="auto" w:fill="auto"/>
            <w:vAlign w:val="center"/>
            <w:hideMark/>
          </w:tcPr>
          <w:p w:rsidR="003B37EE" w:rsidRPr="00B13F3B" w:rsidP="003B37EE">
            <w:pPr>
              <w:jc w:val="center"/>
              <w:rPr>
                <w:rFonts w:ascii="Arial" w:eastAsia="Times New Roman" w:hAnsi="Arial" w:cs="Arial"/>
                <w:color w:val="000000"/>
                <w:lang w:eastAsia="en-GB"/>
              </w:rPr>
            </w:pPr>
            <w:r w:rsidRPr="00B13F3B">
              <w:rPr>
                <w:rFonts w:ascii="Arial" w:eastAsia="Times New Roman" w:hAnsi="Arial" w:cs="Arial"/>
                <w:color w:val="000000"/>
                <w:lang w:eastAsia="en-GB"/>
              </w:rPr>
              <w:t>26/01/22</w:t>
            </w:r>
          </w:p>
        </w:tc>
      </w:tr>
      <w:tr w:rsidTr="00896313">
        <w:tblPrEx>
          <w:tblW w:w="9423" w:type="dxa"/>
          <w:tblLook w:val="04A0"/>
        </w:tblPrEx>
        <w:tc>
          <w:tcPr>
            <w:tcW w:w="3760" w:type="dxa"/>
            <w:tcBorders>
              <w:top w:val="single" w:sz="4" w:space="0" w:color="auto"/>
              <w:left w:val="single" w:sz="4" w:space="0" w:color="auto"/>
              <w:bottom w:val="single" w:sz="4" w:space="0" w:color="auto"/>
              <w:right w:val="single" w:sz="4" w:space="0" w:color="BFBFBF"/>
            </w:tcBorders>
            <w:shd w:val="clear" w:color="auto" w:fill="auto"/>
            <w:vAlign w:val="center"/>
          </w:tcPr>
          <w:p w:rsidR="003B37EE" w:rsidRPr="00896313" w:rsidP="003B37EE">
            <w:pPr>
              <w:rPr>
                <w:rFonts w:ascii="Arial" w:eastAsia="Times New Roman" w:hAnsi="Arial" w:cs="Arial"/>
                <w:b/>
                <w:color w:val="000000"/>
                <w:lang w:eastAsia="en-GB"/>
              </w:rPr>
            </w:pPr>
            <w:r>
              <w:rPr>
                <w:rFonts w:ascii="Arial" w:eastAsia="Times New Roman" w:hAnsi="Arial" w:cs="Arial"/>
                <w:b/>
                <w:color w:val="000000"/>
                <w:lang w:eastAsia="en-GB"/>
              </w:rPr>
              <w:t>Totals</w:t>
            </w:r>
          </w:p>
        </w:tc>
        <w:tc>
          <w:tcPr>
            <w:tcW w:w="1440" w:type="dxa"/>
            <w:tcBorders>
              <w:top w:val="single" w:sz="4" w:space="0" w:color="auto"/>
              <w:left w:val="nil"/>
              <w:bottom w:val="single" w:sz="4" w:space="0" w:color="auto"/>
              <w:right w:val="single" w:sz="4" w:space="0" w:color="BFBFBF"/>
            </w:tcBorders>
            <w:shd w:val="clear" w:color="auto" w:fill="auto"/>
            <w:noWrap/>
            <w:vAlign w:val="center"/>
          </w:tcPr>
          <w:p w:rsidR="003B37EE" w:rsidRPr="00896313" w:rsidP="003B37EE">
            <w:pPr>
              <w:jc w:val="right"/>
              <w:rPr>
                <w:rFonts w:ascii="Arial" w:eastAsia="Times New Roman" w:hAnsi="Arial" w:cs="Arial"/>
                <w:b/>
                <w:color w:val="000000"/>
                <w:lang w:eastAsia="en-GB"/>
              </w:rPr>
            </w:pPr>
            <w:r>
              <w:rPr>
                <w:rFonts w:ascii="Arial" w:eastAsia="Times New Roman" w:hAnsi="Arial" w:cs="Arial"/>
                <w:b/>
                <w:color w:val="000000"/>
                <w:lang w:eastAsia="en-GB"/>
              </w:rPr>
              <w:t>(133)</w:t>
            </w:r>
          </w:p>
        </w:tc>
        <w:tc>
          <w:tcPr>
            <w:tcW w:w="1440" w:type="dxa"/>
            <w:tcBorders>
              <w:top w:val="single" w:sz="4" w:space="0" w:color="auto"/>
              <w:left w:val="nil"/>
              <w:bottom w:val="single" w:sz="4" w:space="0" w:color="auto"/>
              <w:right w:val="single" w:sz="4" w:space="0" w:color="BFBFBF"/>
            </w:tcBorders>
            <w:shd w:val="clear" w:color="auto" w:fill="auto"/>
            <w:noWrap/>
            <w:vAlign w:val="center"/>
          </w:tcPr>
          <w:p w:rsidR="003B37EE" w:rsidRPr="00896313" w:rsidP="003B37EE">
            <w:pPr>
              <w:jc w:val="right"/>
              <w:rPr>
                <w:rFonts w:ascii="Arial" w:eastAsia="Times New Roman" w:hAnsi="Arial" w:cs="Arial"/>
                <w:b/>
                <w:color w:val="000000"/>
                <w:lang w:eastAsia="en-GB"/>
              </w:rPr>
            </w:pPr>
            <w:r>
              <w:rPr>
                <w:rFonts w:ascii="Arial" w:eastAsia="Times New Roman" w:hAnsi="Arial" w:cs="Arial"/>
                <w:b/>
                <w:color w:val="000000"/>
                <w:lang w:eastAsia="en-GB"/>
              </w:rPr>
              <w:t>40,488</w:t>
            </w:r>
          </w:p>
        </w:tc>
        <w:tc>
          <w:tcPr>
            <w:tcW w:w="1540" w:type="dxa"/>
            <w:tcBorders>
              <w:top w:val="single" w:sz="4" w:space="0" w:color="auto"/>
              <w:left w:val="nil"/>
              <w:bottom w:val="single" w:sz="4" w:space="0" w:color="auto"/>
              <w:right w:val="single" w:sz="4" w:space="0" w:color="BFBFBF"/>
            </w:tcBorders>
            <w:shd w:val="clear" w:color="auto" w:fill="auto"/>
            <w:vAlign w:val="center"/>
          </w:tcPr>
          <w:p w:rsidR="003B37EE" w:rsidRPr="00896313" w:rsidP="003B37EE">
            <w:pPr>
              <w:jc w:val="center"/>
              <w:rPr>
                <w:rFonts w:ascii="Arial" w:eastAsia="Times New Roman" w:hAnsi="Arial" w:cs="Arial"/>
                <w:b/>
                <w:color w:val="000000"/>
                <w:lang w:eastAsia="en-GB"/>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3B37EE" w:rsidRPr="00896313" w:rsidP="003B37EE">
            <w:pPr>
              <w:jc w:val="center"/>
              <w:rPr>
                <w:rFonts w:ascii="Arial" w:eastAsia="Times New Roman" w:hAnsi="Arial" w:cs="Arial"/>
                <w:b/>
                <w:color w:val="000000"/>
                <w:lang w:eastAsia="en-GB"/>
              </w:rPr>
            </w:pPr>
          </w:p>
        </w:tc>
      </w:tr>
    </w:tbl>
    <w:p w:rsidR="00B13F3B" w:rsidP="00162B7F">
      <w:pPr>
        <w:pStyle w:val="ListParagraph"/>
        <w:ind w:left="360"/>
        <w:jc w:val="both"/>
        <w:rPr>
          <w:rFonts w:cstheme="minorHAnsi"/>
          <w:bCs/>
          <w:iCs/>
        </w:rPr>
      </w:pPr>
    </w:p>
    <w:p w:rsidR="00162B7F" w:rsidRPr="0063341E" w:rsidP="00162B7F">
      <w:pPr>
        <w:numPr>
          <w:ilvl w:val="0"/>
          <w:numId w:val="8"/>
        </w:numPr>
        <w:jc w:val="both"/>
        <w:rPr>
          <w:rFonts w:cstheme="minorHAnsi"/>
          <w:bCs/>
          <w:iCs/>
        </w:rPr>
      </w:pPr>
      <w:r w:rsidRPr="00570B7D">
        <w:rPr>
          <w:rFonts w:cstheme="minorHAnsi"/>
          <w:bCs/>
        </w:rPr>
        <w:t>Slippage and re-profiling of budgets</w:t>
      </w:r>
      <w:r>
        <w:rPr>
          <w:rFonts w:cstheme="minorHAnsi"/>
          <w:bCs/>
        </w:rPr>
        <w:t xml:space="preserve"> from the programme in 2021/22 to 2022/23</w:t>
      </w:r>
      <w:r w:rsidRPr="00570B7D">
        <w:rPr>
          <w:rFonts w:cstheme="minorHAnsi"/>
          <w:bCs/>
        </w:rPr>
        <w:t xml:space="preserve"> </w:t>
      </w:r>
      <w:r>
        <w:rPr>
          <w:rFonts w:cstheme="minorHAnsi"/>
          <w:bCs/>
        </w:rPr>
        <w:t xml:space="preserve">since the previous report </w:t>
      </w:r>
      <w:r w:rsidRPr="00B13F3B">
        <w:rPr>
          <w:rFonts w:cstheme="minorHAnsi"/>
          <w:bCs/>
        </w:rPr>
        <w:t>totals £2.700m</w:t>
      </w:r>
      <w:r>
        <w:rPr>
          <w:rFonts w:cstheme="minorHAnsi"/>
          <w:bCs/>
        </w:rPr>
        <w:t>,</w:t>
      </w:r>
      <w:r w:rsidRPr="00B13F3B">
        <w:rPr>
          <w:rFonts w:cstheme="minorHAnsi"/>
          <w:bCs/>
        </w:rPr>
        <w:t xml:space="preserve"> as detailed</w:t>
      </w:r>
      <w:r>
        <w:rPr>
          <w:rFonts w:cstheme="minorHAnsi"/>
          <w:bCs/>
        </w:rPr>
        <w:t xml:space="preserve"> on the individual schemes in </w:t>
      </w:r>
      <w:r w:rsidRPr="00B11998">
        <w:rPr>
          <w:rFonts w:cstheme="minorHAnsi"/>
          <w:b/>
          <w:bCs/>
        </w:rPr>
        <w:t>Appendix B</w:t>
      </w:r>
      <w:r w:rsidRPr="00570B7D">
        <w:rPr>
          <w:rFonts w:cstheme="minorHAnsi"/>
          <w:bCs/>
        </w:rPr>
        <w:t>.</w:t>
      </w:r>
      <w:r>
        <w:rPr>
          <w:rFonts w:cstheme="minorHAnsi"/>
          <w:bCs/>
        </w:rPr>
        <w:t xml:space="preserve">  The largest movements are shown in the table below and explanations in the major variations section that follows.</w:t>
      </w:r>
    </w:p>
    <w:p w:rsidR="00162B7F" w:rsidRPr="00570B7D" w:rsidP="00162B7F">
      <w:pPr>
        <w:ind w:left="360"/>
        <w:jc w:val="both"/>
        <w:rPr>
          <w:rFonts w:cstheme="minorHAnsi"/>
          <w:bCs/>
          <w:iCs/>
        </w:rPr>
      </w:pPr>
    </w:p>
    <w:tbl>
      <w:tblPr>
        <w:tblW w:w="8040" w:type="dxa"/>
        <w:jc w:val="center"/>
        <w:tblLook w:val="04A0"/>
      </w:tblPr>
      <w:tblGrid>
        <w:gridCol w:w="6380"/>
        <w:gridCol w:w="1660"/>
      </w:tblGrid>
      <w:tr w:rsidTr="00435A67">
        <w:tblPrEx>
          <w:tblW w:w="8040" w:type="dxa"/>
          <w:jc w:val="center"/>
          <w:tblLook w:val="04A0"/>
        </w:tblPrEx>
        <w:trPr>
          <w:trHeight w:val="600"/>
          <w:jc w:val="center"/>
        </w:trPr>
        <w:tc>
          <w:tcPr>
            <w:tcW w:w="6380" w:type="dxa"/>
            <w:vMerge w:val="restart"/>
            <w:tcBorders>
              <w:top w:val="single" w:sz="4" w:space="0" w:color="auto"/>
              <w:left w:val="single" w:sz="4" w:space="0" w:color="auto"/>
              <w:bottom w:val="single" w:sz="4" w:space="0" w:color="000000"/>
              <w:right w:val="single" w:sz="4" w:space="0" w:color="auto"/>
            </w:tcBorders>
            <w:shd w:val="clear" w:color="000000" w:fill="BFBFBF"/>
            <w:hideMark/>
          </w:tcPr>
          <w:p w:rsidR="00435A67" w:rsidRPr="00435A67" w:rsidP="00435A67">
            <w:pPr>
              <w:rPr>
                <w:rFonts w:ascii="Arial" w:eastAsia="Times New Roman" w:hAnsi="Arial" w:cs="Arial"/>
                <w:b/>
                <w:bCs/>
                <w:color w:val="000000"/>
                <w:lang w:eastAsia="en-GB"/>
              </w:rPr>
            </w:pPr>
            <w:r w:rsidRPr="00435A67">
              <w:rPr>
                <w:rFonts w:ascii="Arial" w:eastAsia="Times New Roman" w:hAnsi="Arial" w:cs="Arial"/>
                <w:b/>
                <w:bCs/>
                <w:color w:val="000000"/>
                <w:lang w:eastAsia="en-GB"/>
              </w:rPr>
              <w:t>Scheme</w:t>
            </w:r>
          </w:p>
        </w:tc>
        <w:tc>
          <w:tcPr>
            <w:tcW w:w="1660" w:type="dxa"/>
            <w:tcBorders>
              <w:top w:val="single" w:sz="4" w:space="0" w:color="auto"/>
              <w:left w:val="nil"/>
              <w:bottom w:val="single" w:sz="4" w:space="0" w:color="BFBFBF"/>
              <w:right w:val="single" w:sz="4" w:space="0" w:color="auto"/>
            </w:tcBorders>
            <w:shd w:val="clear" w:color="000000" w:fill="BFBFBF"/>
            <w:hideMark/>
          </w:tcPr>
          <w:p w:rsidR="00435A67" w:rsidRPr="00435A67" w:rsidP="00435A67">
            <w:pPr>
              <w:jc w:val="center"/>
              <w:rPr>
                <w:rFonts w:ascii="Arial" w:eastAsia="Times New Roman" w:hAnsi="Arial" w:cs="Arial"/>
                <w:b/>
                <w:bCs/>
                <w:color w:val="000000"/>
                <w:lang w:eastAsia="en-GB"/>
              </w:rPr>
            </w:pPr>
            <w:r w:rsidRPr="00435A67">
              <w:rPr>
                <w:rFonts w:ascii="Arial" w:eastAsia="Times New Roman" w:hAnsi="Arial" w:cs="Arial"/>
                <w:b/>
                <w:bCs/>
                <w:color w:val="000000"/>
                <w:lang w:eastAsia="en-GB"/>
              </w:rPr>
              <w:t>Slippage and Reprofiling</w:t>
            </w:r>
          </w:p>
        </w:tc>
      </w:tr>
      <w:tr w:rsidTr="00435A67">
        <w:tblPrEx>
          <w:tblW w:w="8040" w:type="dxa"/>
          <w:jc w:val="center"/>
          <w:tblLook w:val="04A0"/>
        </w:tblPrEx>
        <w:trPr>
          <w:trHeight w:val="300"/>
          <w:jc w:val="center"/>
        </w:trPr>
        <w:tc>
          <w:tcPr>
            <w:tcW w:w="6380" w:type="dxa"/>
            <w:vMerge/>
            <w:tcBorders>
              <w:top w:val="single" w:sz="4" w:space="0" w:color="auto"/>
              <w:left w:val="single" w:sz="4" w:space="0" w:color="auto"/>
              <w:bottom w:val="single" w:sz="4" w:space="0" w:color="000000"/>
              <w:right w:val="single" w:sz="4" w:space="0" w:color="auto"/>
            </w:tcBorders>
            <w:vAlign w:val="center"/>
            <w:hideMark/>
          </w:tcPr>
          <w:p w:rsidR="00435A67" w:rsidRPr="00435A67" w:rsidP="00435A67">
            <w:pPr>
              <w:rPr>
                <w:rFonts w:ascii="Arial" w:eastAsia="Times New Roman" w:hAnsi="Arial" w:cs="Arial"/>
                <w:b/>
                <w:bCs/>
                <w:color w:val="000000"/>
                <w:lang w:eastAsia="en-GB"/>
              </w:rPr>
            </w:pPr>
          </w:p>
        </w:tc>
        <w:tc>
          <w:tcPr>
            <w:tcW w:w="1660" w:type="dxa"/>
            <w:tcBorders>
              <w:top w:val="nil"/>
              <w:left w:val="nil"/>
              <w:bottom w:val="single" w:sz="4" w:space="0" w:color="auto"/>
              <w:right w:val="single" w:sz="4" w:space="0" w:color="auto"/>
            </w:tcBorders>
            <w:shd w:val="clear" w:color="000000" w:fill="BFBFBF"/>
            <w:noWrap/>
            <w:hideMark/>
          </w:tcPr>
          <w:p w:rsidR="00435A67" w:rsidRPr="00435A67" w:rsidP="00435A67">
            <w:pPr>
              <w:jc w:val="center"/>
              <w:rPr>
                <w:rFonts w:ascii="Arial" w:eastAsia="Times New Roman" w:hAnsi="Arial" w:cs="Arial"/>
                <w:b/>
                <w:bCs/>
                <w:color w:val="000000"/>
                <w:lang w:eastAsia="en-GB"/>
              </w:rPr>
            </w:pPr>
            <w:r w:rsidRPr="00435A67">
              <w:rPr>
                <w:rFonts w:ascii="Arial" w:eastAsia="Times New Roman" w:hAnsi="Arial" w:cs="Arial"/>
                <w:b/>
                <w:bCs/>
                <w:color w:val="000000"/>
                <w:lang w:eastAsia="en-GB"/>
              </w:rPr>
              <w:t>£'000</w:t>
            </w:r>
          </w:p>
        </w:tc>
      </w:tr>
      <w:tr w:rsidTr="00435A67">
        <w:tblPrEx>
          <w:tblW w:w="8040" w:type="dxa"/>
          <w:jc w:val="center"/>
          <w:tblLook w:val="04A0"/>
        </w:tblPrEx>
        <w:trPr>
          <w:trHeight w:val="285"/>
          <w:jc w:val="center"/>
        </w:trPr>
        <w:tc>
          <w:tcPr>
            <w:tcW w:w="6380" w:type="dxa"/>
            <w:tcBorders>
              <w:top w:val="nil"/>
              <w:left w:val="single" w:sz="4" w:space="0" w:color="auto"/>
              <w:bottom w:val="single" w:sz="4" w:space="0" w:color="BFBFBF"/>
              <w:right w:val="single" w:sz="4" w:space="0" w:color="BFBFBF"/>
            </w:tcBorders>
            <w:shd w:val="clear" w:color="auto" w:fill="auto"/>
            <w:hideMark/>
          </w:tcPr>
          <w:p w:rsidR="00435A67" w:rsidRPr="00435A67" w:rsidP="00435A67">
            <w:pPr>
              <w:rPr>
                <w:rFonts w:ascii="Arial" w:eastAsia="Times New Roman" w:hAnsi="Arial" w:cs="Arial"/>
                <w:color w:val="000000"/>
                <w:lang w:eastAsia="en-GB"/>
              </w:rPr>
            </w:pPr>
            <w:r w:rsidRPr="00435A67">
              <w:rPr>
                <w:rFonts w:ascii="Arial" w:eastAsia="Times New Roman" w:hAnsi="Arial" w:cs="Arial"/>
                <w:color w:val="000000"/>
                <w:lang w:eastAsia="en-GB"/>
              </w:rPr>
              <w:t>Green Link - Penwortham Holme to Howick</w:t>
            </w:r>
          </w:p>
        </w:tc>
        <w:tc>
          <w:tcPr>
            <w:tcW w:w="1660" w:type="dxa"/>
            <w:tcBorders>
              <w:top w:val="nil"/>
              <w:left w:val="nil"/>
              <w:bottom w:val="single" w:sz="4" w:space="0" w:color="BFBFBF"/>
              <w:right w:val="single" w:sz="4" w:space="0" w:color="auto"/>
            </w:tcBorders>
            <w:shd w:val="clear" w:color="auto" w:fill="auto"/>
            <w:noWrap/>
            <w:hideMark/>
          </w:tcPr>
          <w:p w:rsidR="00435A67" w:rsidRPr="00435A67" w:rsidP="00435A67">
            <w:pPr>
              <w:jc w:val="right"/>
              <w:rPr>
                <w:rFonts w:ascii="Arial" w:eastAsia="Times New Roman" w:hAnsi="Arial" w:cs="Arial"/>
                <w:color w:val="000000"/>
                <w:lang w:eastAsia="en-GB"/>
              </w:rPr>
            </w:pPr>
            <w:r w:rsidRPr="00435A67">
              <w:rPr>
                <w:rFonts w:ascii="Arial" w:eastAsia="Times New Roman" w:hAnsi="Arial" w:cs="Arial"/>
                <w:color w:val="000000"/>
                <w:lang w:eastAsia="en-GB"/>
              </w:rPr>
              <w:t>(250)</w:t>
            </w:r>
          </w:p>
        </w:tc>
      </w:tr>
      <w:tr w:rsidTr="00435A67">
        <w:tblPrEx>
          <w:tblW w:w="8040" w:type="dxa"/>
          <w:jc w:val="center"/>
          <w:tblLook w:val="04A0"/>
        </w:tblPrEx>
        <w:trPr>
          <w:trHeight w:val="570"/>
          <w:jc w:val="center"/>
        </w:trPr>
        <w:tc>
          <w:tcPr>
            <w:tcW w:w="6380" w:type="dxa"/>
            <w:tcBorders>
              <w:top w:val="nil"/>
              <w:left w:val="single" w:sz="4" w:space="0" w:color="auto"/>
              <w:bottom w:val="single" w:sz="4" w:space="0" w:color="BFBFBF"/>
              <w:right w:val="single" w:sz="4" w:space="0" w:color="BFBFBF"/>
            </w:tcBorders>
            <w:shd w:val="clear" w:color="auto" w:fill="auto"/>
            <w:hideMark/>
          </w:tcPr>
          <w:p w:rsidR="00435A67" w:rsidRPr="00435A67" w:rsidP="00435A67">
            <w:pPr>
              <w:rPr>
                <w:rFonts w:ascii="Arial" w:eastAsia="Times New Roman" w:hAnsi="Arial" w:cs="Arial"/>
                <w:color w:val="000000"/>
                <w:lang w:eastAsia="en-GB"/>
              </w:rPr>
            </w:pPr>
            <w:r w:rsidRPr="00435A67">
              <w:rPr>
                <w:rFonts w:ascii="Arial" w:eastAsia="Times New Roman" w:hAnsi="Arial" w:cs="Arial"/>
                <w:color w:val="000000"/>
                <w:lang w:eastAsia="en-GB"/>
              </w:rPr>
              <w:t xml:space="preserve">Worden Park - Walled garden pot house, </w:t>
            </w:r>
            <w:r>
              <w:rPr>
                <w:rFonts w:ascii="Arial" w:eastAsia="Times New Roman" w:hAnsi="Arial" w:cs="Arial"/>
                <w:color w:val="000000"/>
                <w:lang w:eastAsia="en-GB"/>
              </w:rPr>
              <w:t>I</w:t>
            </w:r>
            <w:r w:rsidRPr="00793A73">
              <w:rPr>
                <w:rFonts w:ascii="Arial" w:eastAsia="Times New Roman" w:hAnsi="Arial" w:cs="Arial"/>
                <w:color w:val="000000"/>
                <w:lang w:eastAsia="en-GB"/>
              </w:rPr>
              <w:t>ce</w:t>
            </w:r>
            <w:r w:rsidRPr="00435A67">
              <w:rPr>
                <w:rFonts w:ascii="Arial" w:eastAsia="Times New Roman" w:hAnsi="Arial" w:cs="Arial"/>
                <w:color w:val="000000"/>
                <w:lang w:eastAsia="en-GB"/>
              </w:rPr>
              <w:t xml:space="preserve"> </w:t>
            </w:r>
            <w:r>
              <w:rPr>
                <w:rFonts w:ascii="Arial" w:eastAsia="Times New Roman" w:hAnsi="Arial" w:cs="Arial"/>
                <w:color w:val="000000"/>
                <w:lang w:eastAsia="en-GB"/>
              </w:rPr>
              <w:t>H</w:t>
            </w:r>
            <w:r w:rsidRPr="00435A67">
              <w:rPr>
                <w:rFonts w:ascii="Arial" w:eastAsia="Times New Roman" w:hAnsi="Arial" w:cs="Arial"/>
                <w:color w:val="000000"/>
                <w:lang w:eastAsia="en-GB"/>
              </w:rPr>
              <w:t>ouse and fountain</w:t>
            </w:r>
          </w:p>
        </w:tc>
        <w:tc>
          <w:tcPr>
            <w:tcW w:w="1660" w:type="dxa"/>
            <w:tcBorders>
              <w:top w:val="nil"/>
              <w:left w:val="nil"/>
              <w:bottom w:val="single" w:sz="4" w:space="0" w:color="BFBFBF"/>
              <w:right w:val="single" w:sz="4" w:space="0" w:color="auto"/>
            </w:tcBorders>
            <w:shd w:val="clear" w:color="auto" w:fill="auto"/>
            <w:noWrap/>
            <w:hideMark/>
          </w:tcPr>
          <w:p w:rsidR="00435A67" w:rsidRPr="00435A67" w:rsidP="00435A67">
            <w:pPr>
              <w:jc w:val="right"/>
              <w:rPr>
                <w:rFonts w:ascii="Arial" w:eastAsia="Times New Roman" w:hAnsi="Arial" w:cs="Arial"/>
                <w:color w:val="000000"/>
                <w:lang w:eastAsia="en-GB"/>
              </w:rPr>
            </w:pPr>
            <w:r w:rsidRPr="00435A67">
              <w:rPr>
                <w:rFonts w:ascii="Arial" w:eastAsia="Times New Roman" w:hAnsi="Arial" w:cs="Arial"/>
                <w:color w:val="000000"/>
                <w:lang w:eastAsia="en-GB"/>
              </w:rPr>
              <w:t>(140)</w:t>
            </w:r>
          </w:p>
        </w:tc>
      </w:tr>
      <w:tr w:rsidTr="00435A67">
        <w:tblPrEx>
          <w:tblW w:w="8040" w:type="dxa"/>
          <w:jc w:val="center"/>
          <w:tblLook w:val="04A0"/>
        </w:tblPrEx>
        <w:trPr>
          <w:trHeight w:val="285"/>
          <w:jc w:val="center"/>
        </w:trPr>
        <w:tc>
          <w:tcPr>
            <w:tcW w:w="6380" w:type="dxa"/>
            <w:tcBorders>
              <w:top w:val="nil"/>
              <w:left w:val="single" w:sz="4" w:space="0" w:color="auto"/>
              <w:bottom w:val="single" w:sz="4" w:space="0" w:color="BFBFBF"/>
              <w:right w:val="single" w:sz="4" w:space="0" w:color="BFBFBF"/>
            </w:tcBorders>
            <w:shd w:val="clear" w:color="auto" w:fill="auto"/>
            <w:hideMark/>
          </w:tcPr>
          <w:p w:rsidR="00435A67" w:rsidRPr="00435A67" w:rsidP="00435A67">
            <w:pPr>
              <w:rPr>
                <w:rFonts w:ascii="Arial" w:eastAsia="Times New Roman" w:hAnsi="Arial" w:cs="Arial"/>
                <w:color w:val="000000"/>
                <w:lang w:eastAsia="en-GB"/>
              </w:rPr>
            </w:pPr>
            <w:r w:rsidRPr="00435A67">
              <w:rPr>
                <w:rFonts w:ascii="Arial" w:eastAsia="Times New Roman" w:hAnsi="Arial" w:cs="Arial"/>
                <w:color w:val="000000"/>
                <w:lang w:eastAsia="en-GB"/>
              </w:rPr>
              <w:t>Hurst Grange Park - Drainage, paths and coach house</w:t>
            </w:r>
          </w:p>
        </w:tc>
        <w:tc>
          <w:tcPr>
            <w:tcW w:w="1660" w:type="dxa"/>
            <w:tcBorders>
              <w:top w:val="nil"/>
              <w:left w:val="nil"/>
              <w:bottom w:val="single" w:sz="4" w:space="0" w:color="BFBFBF"/>
              <w:right w:val="single" w:sz="4" w:space="0" w:color="auto"/>
            </w:tcBorders>
            <w:shd w:val="clear" w:color="auto" w:fill="auto"/>
            <w:noWrap/>
            <w:hideMark/>
          </w:tcPr>
          <w:p w:rsidR="00435A67" w:rsidRPr="00435A67" w:rsidP="00435A67">
            <w:pPr>
              <w:jc w:val="right"/>
              <w:rPr>
                <w:rFonts w:ascii="Arial" w:eastAsia="Times New Roman" w:hAnsi="Arial" w:cs="Arial"/>
                <w:color w:val="000000"/>
                <w:lang w:eastAsia="en-GB"/>
              </w:rPr>
            </w:pPr>
            <w:r w:rsidRPr="00435A67">
              <w:rPr>
                <w:rFonts w:ascii="Arial" w:eastAsia="Times New Roman" w:hAnsi="Arial" w:cs="Arial"/>
                <w:color w:val="000000"/>
                <w:lang w:eastAsia="en-GB"/>
              </w:rPr>
              <w:t>(10</w:t>
            </w:r>
            <w:r>
              <w:rPr>
                <w:rFonts w:ascii="Arial" w:eastAsia="Times New Roman" w:hAnsi="Arial" w:cs="Arial"/>
                <w:color w:val="000000"/>
                <w:lang w:eastAsia="en-GB"/>
              </w:rPr>
              <w:t>8</w:t>
            </w:r>
            <w:r w:rsidRPr="00435A67">
              <w:rPr>
                <w:rFonts w:ascii="Arial" w:eastAsia="Times New Roman" w:hAnsi="Arial" w:cs="Arial"/>
                <w:color w:val="000000"/>
                <w:lang w:eastAsia="en-GB"/>
              </w:rPr>
              <w:t>)</w:t>
            </w:r>
          </w:p>
        </w:tc>
      </w:tr>
      <w:tr w:rsidTr="00435A67">
        <w:tblPrEx>
          <w:tblW w:w="8040" w:type="dxa"/>
          <w:jc w:val="center"/>
          <w:tblLook w:val="04A0"/>
        </w:tblPrEx>
        <w:trPr>
          <w:trHeight w:val="285"/>
          <w:jc w:val="center"/>
        </w:trPr>
        <w:tc>
          <w:tcPr>
            <w:tcW w:w="6380" w:type="dxa"/>
            <w:tcBorders>
              <w:top w:val="nil"/>
              <w:left w:val="single" w:sz="4" w:space="0" w:color="auto"/>
              <w:bottom w:val="single" w:sz="4" w:space="0" w:color="BFBFBF"/>
              <w:right w:val="single" w:sz="4" w:space="0" w:color="BFBFBF"/>
            </w:tcBorders>
            <w:shd w:val="clear" w:color="auto" w:fill="auto"/>
            <w:hideMark/>
          </w:tcPr>
          <w:p w:rsidR="00435A67" w:rsidRPr="00435A67" w:rsidP="00435A67">
            <w:pPr>
              <w:rPr>
                <w:rFonts w:ascii="Arial" w:eastAsia="Times New Roman" w:hAnsi="Arial" w:cs="Arial"/>
                <w:color w:val="000000"/>
                <w:lang w:eastAsia="en-GB"/>
              </w:rPr>
            </w:pPr>
            <w:r w:rsidRPr="00435A67">
              <w:rPr>
                <w:rFonts w:ascii="Arial" w:eastAsia="Times New Roman" w:hAnsi="Arial" w:cs="Arial"/>
                <w:color w:val="000000"/>
                <w:lang w:eastAsia="en-GB"/>
              </w:rPr>
              <w:t>Playgrounds - Moss Side Village Green and Birch Avenue</w:t>
            </w:r>
          </w:p>
        </w:tc>
        <w:tc>
          <w:tcPr>
            <w:tcW w:w="1660" w:type="dxa"/>
            <w:tcBorders>
              <w:top w:val="nil"/>
              <w:left w:val="nil"/>
              <w:bottom w:val="single" w:sz="4" w:space="0" w:color="BFBFBF"/>
              <w:right w:val="single" w:sz="4" w:space="0" w:color="auto"/>
            </w:tcBorders>
            <w:shd w:val="clear" w:color="auto" w:fill="auto"/>
            <w:noWrap/>
            <w:hideMark/>
          </w:tcPr>
          <w:p w:rsidR="00435A67" w:rsidRPr="00435A67" w:rsidP="00435A67">
            <w:pPr>
              <w:jc w:val="right"/>
              <w:rPr>
                <w:rFonts w:ascii="Arial" w:eastAsia="Times New Roman" w:hAnsi="Arial" w:cs="Arial"/>
                <w:color w:val="000000"/>
                <w:lang w:eastAsia="en-GB"/>
              </w:rPr>
            </w:pPr>
            <w:r w:rsidRPr="00435A67">
              <w:rPr>
                <w:rFonts w:ascii="Arial" w:eastAsia="Times New Roman" w:hAnsi="Arial" w:cs="Arial"/>
                <w:color w:val="000000"/>
                <w:lang w:eastAsia="en-GB"/>
              </w:rPr>
              <w:t>(200)</w:t>
            </w:r>
          </w:p>
        </w:tc>
      </w:tr>
      <w:tr w:rsidTr="00435A67">
        <w:tblPrEx>
          <w:tblW w:w="8040" w:type="dxa"/>
          <w:jc w:val="center"/>
          <w:tblLook w:val="04A0"/>
        </w:tblPrEx>
        <w:trPr>
          <w:trHeight w:val="285"/>
          <w:jc w:val="center"/>
        </w:trPr>
        <w:tc>
          <w:tcPr>
            <w:tcW w:w="6380" w:type="dxa"/>
            <w:tcBorders>
              <w:top w:val="nil"/>
              <w:left w:val="single" w:sz="4" w:space="0" w:color="auto"/>
              <w:bottom w:val="single" w:sz="4" w:space="0" w:color="BFBFBF"/>
              <w:right w:val="single" w:sz="4" w:space="0" w:color="BFBFBF"/>
            </w:tcBorders>
            <w:shd w:val="clear" w:color="auto" w:fill="auto"/>
            <w:hideMark/>
          </w:tcPr>
          <w:p w:rsidR="00435A67" w:rsidRPr="00435A67" w:rsidP="00435A67">
            <w:pPr>
              <w:rPr>
                <w:rFonts w:ascii="Arial" w:eastAsia="Times New Roman" w:hAnsi="Arial" w:cs="Arial"/>
                <w:color w:val="000000"/>
                <w:lang w:eastAsia="en-GB"/>
              </w:rPr>
            </w:pPr>
            <w:r w:rsidRPr="00435A67">
              <w:rPr>
                <w:rFonts w:ascii="Arial" w:eastAsia="Times New Roman" w:hAnsi="Arial" w:cs="Arial"/>
                <w:color w:val="000000"/>
                <w:lang w:eastAsia="en-GB"/>
              </w:rPr>
              <w:t>Sport Pitch Hub</w:t>
            </w:r>
          </w:p>
        </w:tc>
        <w:tc>
          <w:tcPr>
            <w:tcW w:w="1660" w:type="dxa"/>
            <w:tcBorders>
              <w:top w:val="nil"/>
              <w:left w:val="nil"/>
              <w:bottom w:val="single" w:sz="4" w:space="0" w:color="BFBFBF"/>
              <w:right w:val="single" w:sz="4" w:space="0" w:color="auto"/>
            </w:tcBorders>
            <w:shd w:val="clear" w:color="auto" w:fill="auto"/>
            <w:noWrap/>
            <w:hideMark/>
          </w:tcPr>
          <w:p w:rsidR="00435A67" w:rsidRPr="00435A67" w:rsidP="00435A67">
            <w:pPr>
              <w:jc w:val="right"/>
              <w:rPr>
                <w:rFonts w:ascii="Arial" w:eastAsia="Times New Roman" w:hAnsi="Arial" w:cs="Arial"/>
                <w:color w:val="000000"/>
                <w:lang w:eastAsia="en-GB"/>
              </w:rPr>
            </w:pPr>
            <w:r w:rsidRPr="00435A67">
              <w:rPr>
                <w:rFonts w:ascii="Arial" w:eastAsia="Times New Roman" w:hAnsi="Arial" w:cs="Arial"/>
                <w:color w:val="000000"/>
                <w:lang w:eastAsia="en-GB"/>
              </w:rPr>
              <w:t>(800)</w:t>
            </w:r>
          </w:p>
        </w:tc>
      </w:tr>
      <w:tr w:rsidTr="00435A67">
        <w:tblPrEx>
          <w:tblW w:w="8040" w:type="dxa"/>
          <w:jc w:val="center"/>
          <w:tblLook w:val="04A0"/>
        </w:tblPrEx>
        <w:trPr>
          <w:trHeight w:val="285"/>
          <w:jc w:val="center"/>
        </w:trPr>
        <w:tc>
          <w:tcPr>
            <w:tcW w:w="6380" w:type="dxa"/>
            <w:tcBorders>
              <w:top w:val="nil"/>
              <w:left w:val="single" w:sz="4" w:space="0" w:color="auto"/>
              <w:bottom w:val="single" w:sz="4" w:space="0" w:color="BFBFBF"/>
              <w:right w:val="single" w:sz="4" w:space="0" w:color="BFBFBF"/>
            </w:tcBorders>
            <w:shd w:val="clear" w:color="auto" w:fill="auto"/>
            <w:hideMark/>
          </w:tcPr>
          <w:p w:rsidR="00435A67" w:rsidRPr="00435A67" w:rsidP="00435A67">
            <w:pPr>
              <w:rPr>
                <w:rFonts w:ascii="Arial" w:eastAsia="Times New Roman" w:hAnsi="Arial" w:cs="Arial"/>
                <w:color w:val="000000"/>
                <w:lang w:eastAsia="en-GB"/>
              </w:rPr>
            </w:pPr>
            <w:r w:rsidRPr="00435A67">
              <w:rPr>
                <w:rFonts w:ascii="Arial" w:eastAsia="Times New Roman" w:hAnsi="Arial" w:cs="Arial"/>
                <w:color w:val="000000"/>
                <w:lang w:eastAsia="en-GB"/>
              </w:rPr>
              <w:t>Disabled Facilities Grants</w:t>
            </w:r>
          </w:p>
        </w:tc>
        <w:tc>
          <w:tcPr>
            <w:tcW w:w="1660" w:type="dxa"/>
            <w:tcBorders>
              <w:top w:val="nil"/>
              <w:left w:val="nil"/>
              <w:bottom w:val="single" w:sz="4" w:space="0" w:color="BFBFBF"/>
              <w:right w:val="single" w:sz="4" w:space="0" w:color="auto"/>
            </w:tcBorders>
            <w:shd w:val="clear" w:color="auto" w:fill="auto"/>
            <w:noWrap/>
            <w:hideMark/>
          </w:tcPr>
          <w:p w:rsidR="00435A67" w:rsidRPr="00435A67" w:rsidP="00435A67">
            <w:pPr>
              <w:jc w:val="right"/>
              <w:rPr>
                <w:rFonts w:ascii="Arial" w:eastAsia="Times New Roman" w:hAnsi="Arial" w:cs="Arial"/>
                <w:color w:val="000000"/>
                <w:lang w:eastAsia="en-GB"/>
              </w:rPr>
            </w:pPr>
            <w:r w:rsidRPr="00435A67">
              <w:rPr>
                <w:rFonts w:ascii="Arial" w:eastAsia="Times New Roman" w:hAnsi="Arial" w:cs="Arial"/>
                <w:color w:val="000000"/>
                <w:lang w:eastAsia="en-GB"/>
              </w:rPr>
              <w:t>(267)</w:t>
            </w:r>
          </w:p>
        </w:tc>
      </w:tr>
      <w:tr w:rsidTr="00435A67">
        <w:tblPrEx>
          <w:tblW w:w="8040" w:type="dxa"/>
          <w:jc w:val="center"/>
          <w:tblLook w:val="04A0"/>
        </w:tblPrEx>
        <w:trPr>
          <w:trHeight w:val="285"/>
          <w:jc w:val="center"/>
        </w:trPr>
        <w:tc>
          <w:tcPr>
            <w:tcW w:w="6380" w:type="dxa"/>
            <w:tcBorders>
              <w:top w:val="nil"/>
              <w:left w:val="single" w:sz="4" w:space="0" w:color="auto"/>
              <w:bottom w:val="single" w:sz="4" w:space="0" w:color="BFBFBF"/>
              <w:right w:val="single" w:sz="4" w:space="0" w:color="BFBFBF"/>
            </w:tcBorders>
            <w:shd w:val="clear" w:color="auto" w:fill="auto"/>
            <w:hideMark/>
          </w:tcPr>
          <w:p w:rsidR="00435A67" w:rsidRPr="00435A67" w:rsidP="00435A67">
            <w:pPr>
              <w:rPr>
                <w:rFonts w:ascii="Arial" w:eastAsia="Times New Roman" w:hAnsi="Arial" w:cs="Arial"/>
                <w:color w:val="000000"/>
                <w:lang w:eastAsia="en-GB"/>
              </w:rPr>
            </w:pPr>
            <w:r w:rsidRPr="00435A67">
              <w:rPr>
                <w:rFonts w:ascii="Arial" w:eastAsia="Times New Roman" w:hAnsi="Arial" w:cs="Arial"/>
                <w:color w:val="000000"/>
                <w:lang w:eastAsia="en-GB"/>
              </w:rPr>
              <w:t>Housing grants - Empty homes and private sector</w:t>
            </w:r>
          </w:p>
        </w:tc>
        <w:tc>
          <w:tcPr>
            <w:tcW w:w="1660" w:type="dxa"/>
            <w:tcBorders>
              <w:top w:val="nil"/>
              <w:left w:val="nil"/>
              <w:bottom w:val="single" w:sz="4" w:space="0" w:color="BFBFBF"/>
              <w:right w:val="single" w:sz="4" w:space="0" w:color="auto"/>
            </w:tcBorders>
            <w:shd w:val="clear" w:color="auto" w:fill="auto"/>
            <w:noWrap/>
            <w:hideMark/>
          </w:tcPr>
          <w:p w:rsidR="00435A67" w:rsidRPr="00435A67" w:rsidP="00435A67">
            <w:pPr>
              <w:jc w:val="right"/>
              <w:rPr>
                <w:rFonts w:ascii="Arial" w:eastAsia="Times New Roman" w:hAnsi="Arial" w:cs="Arial"/>
                <w:color w:val="000000"/>
                <w:lang w:eastAsia="en-GB"/>
              </w:rPr>
            </w:pPr>
            <w:r w:rsidRPr="00435A67">
              <w:rPr>
                <w:rFonts w:ascii="Arial" w:eastAsia="Times New Roman" w:hAnsi="Arial" w:cs="Arial"/>
                <w:color w:val="000000"/>
                <w:lang w:eastAsia="en-GB"/>
              </w:rPr>
              <w:t>(87)</w:t>
            </w:r>
          </w:p>
        </w:tc>
      </w:tr>
      <w:tr w:rsidTr="00435A67">
        <w:tblPrEx>
          <w:tblW w:w="8040" w:type="dxa"/>
          <w:jc w:val="center"/>
          <w:tblLook w:val="04A0"/>
        </w:tblPrEx>
        <w:trPr>
          <w:trHeight w:val="285"/>
          <w:jc w:val="center"/>
        </w:trPr>
        <w:tc>
          <w:tcPr>
            <w:tcW w:w="6380" w:type="dxa"/>
            <w:tcBorders>
              <w:top w:val="nil"/>
              <w:left w:val="single" w:sz="4" w:space="0" w:color="auto"/>
              <w:bottom w:val="single" w:sz="4" w:space="0" w:color="BFBFBF"/>
              <w:right w:val="single" w:sz="4" w:space="0" w:color="BFBFBF"/>
            </w:tcBorders>
            <w:shd w:val="clear" w:color="auto" w:fill="auto"/>
            <w:hideMark/>
          </w:tcPr>
          <w:p w:rsidR="00435A67" w:rsidRPr="00435A67" w:rsidP="00435A67">
            <w:pPr>
              <w:rPr>
                <w:rFonts w:ascii="Arial" w:eastAsia="Times New Roman" w:hAnsi="Arial" w:cs="Arial"/>
                <w:color w:val="000000"/>
                <w:lang w:eastAsia="en-GB"/>
              </w:rPr>
            </w:pPr>
            <w:r w:rsidRPr="00435A67">
              <w:rPr>
                <w:rFonts w:ascii="Arial" w:eastAsia="Times New Roman" w:hAnsi="Arial" w:cs="Arial"/>
                <w:color w:val="000000"/>
                <w:lang w:eastAsia="en-GB"/>
              </w:rPr>
              <w:t>Churchyard wall repairs - St Mary's, Penw</w:t>
            </w:r>
            <w:r>
              <w:rPr>
                <w:rFonts w:ascii="Arial" w:eastAsia="Times New Roman" w:hAnsi="Arial" w:cs="Arial"/>
                <w:color w:val="000000"/>
                <w:lang w:eastAsia="en-GB"/>
              </w:rPr>
              <w:t>ortham</w:t>
            </w:r>
          </w:p>
        </w:tc>
        <w:tc>
          <w:tcPr>
            <w:tcW w:w="1660" w:type="dxa"/>
            <w:tcBorders>
              <w:top w:val="nil"/>
              <w:left w:val="nil"/>
              <w:bottom w:val="single" w:sz="4" w:space="0" w:color="BFBFBF"/>
              <w:right w:val="single" w:sz="4" w:space="0" w:color="auto"/>
            </w:tcBorders>
            <w:shd w:val="clear" w:color="auto" w:fill="auto"/>
            <w:noWrap/>
            <w:hideMark/>
          </w:tcPr>
          <w:p w:rsidR="00435A67" w:rsidRPr="00435A67" w:rsidP="00435A67">
            <w:pPr>
              <w:jc w:val="right"/>
              <w:rPr>
                <w:rFonts w:ascii="Arial" w:eastAsia="Times New Roman" w:hAnsi="Arial" w:cs="Arial"/>
                <w:color w:val="000000"/>
                <w:lang w:eastAsia="en-GB"/>
              </w:rPr>
            </w:pPr>
            <w:r w:rsidRPr="00435A67">
              <w:rPr>
                <w:rFonts w:ascii="Arial" w:eastAsia="Times New Roman" w:hAnsi="Arial" w:cs="Arial"/>
                <w:color w:val="000000"/>
                <w:lang w:eastAsia="en-GB"/>
              </w:rPr>
              <w:t>(86)</w:t>
            </w:r>
          </w:p>
        </w:tc>
      </w:tr>
      <w:tr w:rsidTr="00435A67">
        <w:tblPrEx>
          <w:tblW w:w="8040" w:type="dxa"/>
          <w:jc w:val="center"/>
          <w:tblLook w:val="04A0"/>
        </w:tblPrEx>
        <w:trPr>
          <w:trHeight w:val="285"/>
          <w:jc w:val="center"/>
        </w:trPr>
        <w:tc>
          <w:tcPr>
            <w:tcW w:w="6380" w:type="dxa"/>
            <w:tcBorders>
              <w:top w:val="nil"/>
              <w:left w:val="single" w:sz="4" w:space="0" w:color="auto"/>
              <w:bottom w:val="single" w:sz="4" w:space="0" w:color="BFBFBF"/>
              <w:right w:val="single" w:sz="4" w:space="0" w:color="BFBFBF"/>
            </w:tcBorders>
            <w:shd w:val="clear" w:color="auto" w:fill="auto"/>
            <w:hideMark/>
          </w:tcPr>
          <w:p w:rsidR="00435A67" w:rsidRPr="00435A67" w:rsidP="00435A67">
            <w:pPr>
              <w:rPr>
                <w:rFonts w:ascii="Arial" w:eastAsia="Times New Roman" w:hAnsi="Arial" w:cs="Arial"/>
                <w:color w:val="000000"/>
                <w:lang w:eastAsia="en-GB"/>
              </w:rPr>
            </w:pPr>
            <w:r w:rsidRPr="00435A67">
              <w:rPr>
                <w:rFonts w:ascii="Arial" w:eastAsia="Times New Roman" w:hAnsi="Arial" w:cs="Arial"/>
                <w:color w:val="000000"/>
                <w:lang w:eastAsia="en-GB"/>
              </w:rPr>
              <w:t>IT</w:t>
            </w:r>
          </w:p>
        </w:tc>
        <w:tc>
          <w:tcPr>
            <w:tcW w:w="1660" w:type="dxa"/>
            <w:tcBorders>
              <w:top w:val="nil"/>
              <w:left w:val="nil"/>
              <w:bottom w:val="single" w:sz="4" w:space="0" w:color="BFBFBF"/>
              <w:right w:val="single" w:sz="4" w:space="0" w:color="auto"/>
            </w:tcBorders>
            <w:shd w:val="clear" w:color="auto" w:fill="auto"/>
            <w:noWrap/>
            <w:hideMark/>
          </w:tcPr>
          <w:p w:rsidR="00435A67" w:rsidRPr="00435A67" w:rsidP="00435A67">
            <w:pPr>
              <w:jc w:val="right"/>
              <w:rPr>
                <w:rFonts w:ascii="Arial" w:eastAsia="Times New Roman" w:hAnsi="Arial" w:cs="Arial"/>
                <w:color w:val="000000"/>
                <w:lang w:eastAsia="en-GB"/>
              </w:rPr>
            </w:pPr>
            <w:r w:rsidRPr="00435A67">
              <w:rPr>
                <w:rFonts w:ascii="Arial" w:eastAsia="Times New Roman" w:hAnsi="Arial" w:cs="Arial"/>
                <w:color w:val="000000"/>
                <w:lang w:eastAsia="en-GB"/>
              </w:rPr>
              <w:t>(218)</w:t>
            </w:r>
          </w:p>
        </w:tc>
      </w:tr>
      <w:tr w:rsidTr="00435A67">
        <w:tblPrEx>
          <w:tblW w:w="8040" w:type="dxa"/>
          <w:jc w:val="center"/>
          <w:tblLook w:val="04A0"/>
        </w:tblPrEx>
        <w:trPr>
          <w:trHeight w:val="285"/>
          <w:jc w:val="center"/>
        </w:trPr>
        <w:tc>
          <w:tcPr>
            <w:tcW w:w="6380" w:type="dxa"/>
            <w:tcBorders>
              <w:top w:val="nil"/>
              <w:left w:val="single" w:sz="4" w:space="0" w:color="auto"/>
              <w:bottom w:val="single" w:sz="4" w:space="0" w:color="BFBFBF"/>
              <w:right w:val="single" w:sz="4" w:space="0" w:color="BFBFBF"/>
            </w:tcBorders>
            <w:shd w:val="clear" w:color="auto" w:fill="auto"/>
            <w:hideMark/>
          </w:tcPr>
          <w:p w:rsidR="00435A67" w:rsidRPr="00435A67" w:rsidP="00435A67">
            <w:pPr>
              <w:rPr>
                <w:rFonts w:ascii="Arial" w:eastAsia="Times New Roman" w:hAnsi="Arial" w:cs="Arial"/>
                <w:color w:val="000000"/>
                <w:lang w:eastAsia="en-GB"/>
              </w:rPr>
            </w:pPr>
            <w:r w:rsidRPr="00435A67">
              <w:rPr>
                <w:rFonts w:ascii="Arial" w:eastAsia="Times New Roman" w:hAnsi="Arial" w:cs="Arial"/>
                <w:color w:val="000000"/>
                <w:lang w:eastAsia="en-GB"/>
              </w:rPr>
              <w:t>Vehicles and Plant replacement programme</w:t>
            </w:r>
          </w:p>
        </w:tc>
        <w:tc>
          <w:tcPr>
            <w:tcW w:w="1660" w:type="dxa"/>
            <w:tcBorders>
              <w:top w:val="nil"/>
              <w:left w:val="nil"/>
              <w:bottom w:val="single" w:sz="4" w:space="0" w:color="BFBFBF"/>
              <w:right w:val="single" w:sz="4" w:space="0" w:color="auto"/>
            </w:tcBorders>
            <w:shd w:val="clear" w:color="auto" w:fill="auto"/>
            <w:noWrap/>
            <w:hideMark/>
          </w:tcPr>
          <w:p w:rsidR="00435A67" w:rsidRPr="00435A67" w:rsidP="00435A67">
            <w:pPr>
              <w:jc w:val="right"/>
              <w:rPr>
                <w:rFonts w:ascii="Arial" w:eastAsia="Times New Roman" w:hAnsi="Arial" w:cs="Arial"/>
                <w:color w:val="000000"/>
                <w:lang w:eastAsia="en-GB"/>
              </w:rPr>
            </w:pPr>
            <w:r w:rsidRPr="00435A67">
              <w:rPr>
                <w:rFonts w:ascii="Arial" w:eastAsia="Times New Roman" w:hAnsi="Arial" w:cs="Arial"/>
                <w:color w:val="000000"/>
                <w:lang w:eastAsia="en-GB"/>
              </w:rPr>
              <w:t>(534)</w:t>
            </w:r>
          </w:p>
        </w:tc>
      </w:tr>
      <w:tr w:rsidTr="00435A67">
        <w:tblPrEx>
          <w:tblW w:w="8040" w:type="dxa"/>
          <w:jc w:val="center"/>
          <w:tblLook w:val="04A0"/>
        </w:tblPrEx>
        <w:trPr>
          <w:trHeight w:val="285"/>
          <w:jc w:val="center"/>
        </w:trPr>
        <w:tc>
          <w:tcPr>
            <w:tcW w:w="6380" w:type="dxa"/>
            <w:tcBorders>
              <w:top w:val="nil"/>
              <w:left w:val="single" w:sz="4" w:space="0" w:color="auto"/>
              <w:bottom w:val="nil"/>
              <w:right w:val="single" w:sz="4" w:space="0" w:color="BFBFBF"/>
            </w:tcBorders>
            <w:shd w:val="clear" w:color="auto" w:fill="auto"/>
            <w:hideMark/>
          </w:tcPr>
          <w:p w:rsidR="00435A67" w:rsidRPr="00435A67" w:rsidP="00435A67">
            <w:pPr>
              <w:rPr>
                <w:rFonts w:ascii="Arial" w:eastAsia="Times New Roman" w:hAnsi="Arial" w:cs="Arial"/>
                <w:color w:val="000000"/>
                <w:lang w:eastAsia="en-GB"/>
              </w:rPr>
            </w:pPr>
            <w:r w:rsidRPr="00435A67">
              <w:rPr>
                <w:rFonts w:ascii="Arial" w:eastAsia="Times New Roman" w:hAnsi="Arial" w:cs="Arial"/>
                <w:color w:val="000000"/>
                <w:lang w:eastAsia="en-GB"/>
              </w:rPr>
              <w:t>Other Schemes</w:t>
            </w:r>
          </w:p>
        </w:tc>
        <w:tc>
          <w:tcPr>
            <w:tcW w:w="1660" w:type="dxa"/>
            <w:tcBorders>
              <w:top w:val="nil"/>
              <w:left w:val="nil"/>
              <w:bottom w:val="nil"/>
              <w:right w:val="single" w:sz="4" w:space="0" w:color="auto"/>
            </w:tcBorders>
            <w:shd w:val="clear" w:color="auto" w:fill="auto"/>
            <w:noWrap/>
            <w:hideMark/>
          </w:tcPr>
          <w:p w:rsidR="00435A67" w:rsidRPr="00435A67" w:rsidP="00435A67">
            <w:pPr>
              <w:jc w:val="right"/>
              <w:rPr>
                <w:rFonts w:ascii="Arial" w:eastAsia="Times New Roman" w:hAnsi="Arial" w:cs="Arial"/>
                <w:color w:val="000000"/>
                <w:lang w:eastAsia="en-GB"/>
              </w:rPr>
            </w:pPr>
            <w:r w:rsidRPr="00435A67">
              <w:rPr>
                <w:rFonts w:ascii="Arial" w:eastAsia="Times New Roman" w:hAnsi="Arial" w:cs="Arial"/>
                <w:color w:val="000000"/>
                <w:lang w:eastAsia="en-GB"/>
              </w:rPr>
              <w:t>(10)</w:t>
            </w:r>
          </w:p>
        </w:tc>
      </w:tr>
      <w:tr w:rsidTr="00435A67">
        <w:tblPrEx>
          <w:tblW w:w="8040" w:type="dxa"/>
          <w:jc w:val="center"/>
          <w:tblLook w:val="04A0"/>
        </w:tblPrEx>
        <w:trPr>
          <w:trHeight w:val="300"/>
          <w:jc w:val="center"/>
        </w:trPr>
        <w:tc>
          <w:tcPr>
            <w:tcW w:w="6380" w:type="dxa"/>
            <w:tcBorders>
              <w:top w:val="single" w:sz="4" w:space="0" w:color="auto"/>
              <w:left w:val="single" w:sz="4" w:space="0" w:color="auto"/>
              <w:bottom w:val="single" w:sz="4" w:space="0" w:color="auto"/>
              <w:right w:val="single" w:sz="4" w:space="0" w:color="BFBFBF"/>
            </w:tcBorders>
            <w:shd w:val="clear" w:color="auto" w:fill="auto"/>
            <w:hideMark/>
          </w:tcPr>
          <w:p w:rsidR="00435A67" w:rsidRPr="00435A67" w:rsidP="00435A67">
            <w:pPr>
              <w:rPr>
                <w:rFonts w:ascii="Arial" w:eastAsia="Times New Roman" w:hAnsi="Arial" w:cs="Arial"/>
                <w:b/>
                <w:bCs/>
                <w:color w:val="000000"/>
                <w:lang w:eastAsia="en-GB"/>
              </w:rPr>
            </w:pPr>
            <w:r w:rsidRPr="00435A67">
              <w:rPr>
                <w:rFonts w:ascii="Arial" w:eastAsia="Times New Roman" w:hAnsi="Arial" w:cs="Arial"/>
                <w:b/>
                <w:bCs/>
                <w:color w:val="000000"/>
                <w:lang w:eastAsia="en-GB"/>
              </w:rPr>
              <w:t>Total</w:t>
            </w:r>
          </w:p>
        </w:tc>
        <w:tc>
          <w:tcPr>
            <w:tcW w:w="1660" w:type="dxa"/>
            <w:tcBorders>
              <w:top w:val="single" w:sz="4" w:space="0" w:color="auto"/>
              <w:left w:val="nil"/>
              <w:bottom w:val="single" w:sz="4" w:space="0" w:color="auto"/>
              <w:right w:val="single" w:sz="4" w:space="0" w:color="auto"/>
            </w:tcBorders>
            <w:shd w:val="clear" w:color="auto" w:fill="auto"/>
            <w:noWrap/>
            <w:hideMark/>
          </w:tcPr>
          <w:p w:rsidR="00435A67" w:rsidRPr="00435A67" w:rsidP="00435A67">
            <w:pPr>
              <w:jc w:val="right"/>
              <w:rPr>
                <w:rFonts w:ascii="Arial" w:eastAsia="Times New Roman" w:hAnsi="Arial" w:cs="Arial"/>
                <w:b/>
                <w:bCs/>
                <w:color w:val="000000"/>
                <w:lang w:eastAsia="en-GB"/>
              </w:rPr>
            </w:pPr>
            <w:r w:rsidRPr="00435A67">
              <w:rPr>
                <w:rFonts w:ascii="Arial" w:eastAsia="Times New Roman" w:hAnsi="Arial" w:cs="Arial"/>
                <w:b/>
                <w:bCs/>
                <w:color w:val="000000"/>
                <w:lang w:eastAsia="en-GB"/>
              </w:rPr>
              <w:t>(2,700)</w:t>
            </w:r>
          </w:p>
        </w:tc>
      </w:tr>
    </w:tbl>
    <w:p w:rsidR="00162B7F" w:rsidP="00162B7F">
      <w:pPr>
        <w:pStyle w:val="ListParagraph"/>
        <w:ind w:left="360"/>
        <w:jc w:val="both"/>
        <w:rPr>
          <w:rFonts w:cstheme="minorHAnsi"/>
          <w:bCs/>
          <w:iCs/>
        </w:rPr>
      </w:pPr>
    </w:p>
    <w:p w:rsidR="00162B7F" w:rsidRPr="00ED0A43" w:rsidP="00162B7F">
      <w:pPr>
        <w:pStyle w:val="ListParagraph"/>
        <w:ind w:left="360"/>
        <w:jc w:val="both"/>
        <w:rPr>
          <w:rFonts w:cstheme="minorHAnsi"/>
          <w:bCs/>
          <w:iCs/>
        </w:rPr>
      </w:pPr>
    </w:p>
    <w:p w:rsidR="00162B7F" w:rsidP="00162B7F">
      <w:pPr>
        <w:numPr>
          <w:ilvl w:val="0"/>
          <w:numId w:val="8"/>
        </w:numPr>
        <w:jc w:val="both"/>
        <w:rPr>
          <w:rFonts w:cstheme="minorHAnsi"/>
          <w:bCs/>
          <w:iCs/>
        </w:rPr>
      </w:pPr>
      <w:r w:rsidRPr="00ED0A43">
        <w:rPr>
          <w:rFonts w:cstheme="minorHAnsi"/>
          <w:bCs/>
        </w:rPr>
        <w:t xml:space="preserve">As at </w:t>
      </w:r>
      <w:r>
        <w:rPr>
          <w:rFonts w:cstheme="minorHAnsi"/>
          <w:bCs/>
        </w:rPr>
        <w:t>31st January 2022</w:t>
      </w:r>
      <w:r w:rsidRPr="00ED0A43">
        <w:rPr>
          <w:rFonts w:cstheme="minorHAnsi"/>
          <w:bCs/>
        </w:rPr>
        <w:t xml:space="preserve"> the</w:t>
      </w:r>
      <w:r w:rsidRPr="005E6837">
        <w:rPr>
          <w:rFonts w:cstheme="minorHAnsi"/>
          <w:bCs/>
        </w:rPr>
        <w:t xml:space="preserve"> capital expenditure across the programme was £</w:t>
      </w:r>
      <w:r>
        <w:rPr>
          <w:rFonts w:cstheme="minorHAnsi"/>
          <w:bCs/>
        </w:rPr>
        <w:t>4.790m,</w:t>
      </w:r>
      <w:r w:rsidRPr="005E6837">
        <w:rPr>
          <w:rFonts w:cstheme="minorHAnsi"/>
          <w:bCs/>
        </w:rPr>
        <w:t xml:space="preserve"> </w:t>
      </w:r>
      <w:r w:rsidRPr="001019B4">
        <w:rPr>
          <w:rFonts w:cstheme="minorHAnsi"/>
          <w:bCs/>
        </w:rPr>
        <w:t>representing 36% of the current, revised projected capital spend for the year.  While spend in relation to the overall programme is currently relatively low, several large projects are underway (e.g. W</w:t>
      </w:r>
      <w:r w:rsidRPr="001019B4">
        <w:rPr>
          <w:rFonts w:cstheme="minorHAnsi"/>
          <w:bCs/>
        </w:rPr>
        <w:t xml:space="preserve">orden Hall, Sport Pitch Hub, Affordable Housing at former McKenzie Arms, Town Deal) and will incur significant spend over the coming </w:t>
      </w:r>
      <w:r>
        <w:rPr>
          <w:rFonts w:cstheme="minorHAnsi"/>
          <w:bCs/>
        </w:rPr>
        <w:t xml:space="preserve">two </w:t>
      </w:r>
      <w:r w:rsidRPr="001019B4">
        <w:rPr>
          <w:rFonts w:cstheme="minorHAnsi"/>
          <w:bCs/>
        </w:rPr>
        <w:t>months</w:t>
      </w:r>
      <w:r>
        <w:rPr>
          <w:rFonts w:cstheme="minorHAnsi"/>
          <w:bCs/>
        </w:rPr>
        <w:t>.</w:t>
      </w:r>
    </w:p>
    <w:p w:rsidR="00162B7F" w:rsidP="00162B7F">
      <w:pPr>
        <w:ind w:left="360"/>
        <w:jc w:val="both"/>
        <w:rPr>
          <w:rFonts w:cstheme="minorHAnsi"/>
          <w:bCs/>
          <w:iCs/>
        </w:rPr>
      </w:pPr>
    </w:p>
    <w:p w:rsidR="00162B7F" w:rsidRPr="008F690E" w:rsidP="00162B7F">
      <w:pPr>
        <w:numPr>
          <w:ilvl w:val="0"/>
          <w:numId w:val="8"/>
        </w:numPr>
        <w:jc w:val="both"/>
        <w:rPr>
          <w:rFonts w:cstheme="minorHAnsi"/>
          <w:bCs/>
          <w:iCs/>
        </w:rPr>
      </w:pPr>
      <w:r>
        <w:rPr>
          <w:rFonts w:cstheme="minorHAnsi"/>
          <w:bCs/>
        </w:rPr>
        <w:t xml:space="preserve">Additional </w:t>
      </w:r>
      <w:r w:rsidRPr="008F690E">
        <w:rPr>
          <w:rFonts w:cstheme="minorHAnsi"/>
          <w:bCs/>
        </w:rPr>
        <w:t>capital receipts</w:t>
      </w:r>
      <w:r>
        <w:rPr>
          <w:rFonts w:cstheme="minorHAnsi"/>
          <w:bCs/>
        </w:rPr>
        <w:t xml:space="preserve"> with a total value of £114k</w:t>
      </w:r>
      <w:r w:rsidRPr="008F690E">
        <w:rPr>
          <w:rFonts w:cstheme="minorHAnsi"/>
          <w:bCs/>
        </w:rPr>
        <w:t xml:space="preserve"> have been received since the last monitoring report.  </w:t>
      </w:r>
      <w:r>
        <w:rPr>
          <w:rFonts w:cstheme="minorHAnsi"/>
          <w:bCs/>
        </w:rPr>
        <w:t>The total value of capital receipts for 2021/22 as at 31st January 2022 is £185k.</w:t>
      </w:r>
    </w:p>
    <w:p w:rsidR="00162B7F" w:rsidP="00162B7F">
      <w:pPr>
        <w:ind w:left="360"/>
        <w:jc w:val="both"/>
        <w:rPr>
          <w:rFonts w:cstheme="minorHAnsi"/>
          <w:bCs/>
          <w:iCs/>
        </w:rPr>
      </w:pPr>
    </w:p>
    <w:p w:rsidR="00162B7F" w:rsidP="00162B7F">
      <w:pPr>
        <w:ind w:left="360"/>
        <w:jc w:val="both"/>
        <w:rPr>
          <w:rFonts w:cstheme="minorHAnsi"/>
          <w:bCs/>
          <w:iCs/>
        </w:rPr>
      </w:pPr>
    </w:p>
    <w:p w:rsidR="00162B7F" w:rsidP="00162B7F">
      <w:pPr>
        <w:ind w:left="360"/>
        <w:jc w:val="both"/>
        <w:rPr>
          <w:rFonts w:cstheme="minorHAnsi"/>
          <w:bCs/>
          <w:iCs/>
        </w:rPr>
      </w:pPr>
    </w:p>
    <w:p w:rsidR="00162B7F" w:rsidRPr="00ED4FF1" w:rsidP="00162B7F">
      <w:pPr>
        <w:pStyle w:val="Heading2"/>
      </w:pPr>
      <w:r w:rsidRPr="00CE3D0D">
        <w:t>Major Variations in the Capital Programme since the previous report</w:t>
      </w:r>
    </w:p>
    <w:p w:rsidR="00162B7F" w:rsidRPr="00D30E15" w:rsidP="00162B7F">
      <w:pPr>
        <w:pStyle w:val="Heading2"/>
      </w:pPr>
      <w:r w:rsidRPr="00D30E15">
        <w:t>Good Homes, Green Spaces and Healthy Places</w:t>
      </w:r>
    </w:p>
    <w:p w:rsidR="00162B7F" w:rsidP="00162B7F">
      <w:pPr>
        <w:numPr>
          <w:ilvl w:val="0"/>
          <w:numId w:val="8"/>
        </w:numPr>
        <w:jc w:val="both"/>
        <w:rPr>
          <w:rFonts w:cstheme="minorHAnsi"/>
          <w:bCs/>
          <w:iCs/>
        </w:rPr>
      </w:pPr>
      <w:bookmarkStart w:id="3" w:name="_Hlk80610541"/>
      <w:r w:rsidRPr="007D742D">
        <w:rPr>
          <w:rFonts w:cstheme="minorHAnsi"/>
          <w:bCs/>
          <w:iCs/>
        </w:rPr>
        <w:t>Green Link</w:t>
      </w:r>
      <w:r>
        <w:rPr>
          <w:rFonts w:cstheme="minorHAnsi"/>
          <w:bCs/>
          <w:iCs/>
        </w:rPr>
        <w:t xml:space="preserve"> </w:t>
      </w:r>
      <w:r w:rsidRPr="007D742D">
        <w:rPr>
          <w:rFonts w:cstheme="minorHAnsi"/>
          <w:bCs/>
          <w:iCs/>
        </w:rPr>
        <w:t>Penwortham Holme to Howick</w:t>
      </w:r>
      <w:r>
        <w:rPr>
          <w:rFonts w:cstheme="minorHAnsi"/>
          <w:bCs/>
          <w:iCs/>
        </w:rPr>
        <w:t xml:space="preserve"> – The budget of £250k</w:t>
      </w:r>
      <w:r>
        <w:rPr>
          <w:rFonts w:cstheme="minorHAnsi"/>
          <w:bCs/>
          <w:iCs/>
        </w:rPr>
        <w:t xml:space="preserve"> has been reprofiled to 2022/23.  The tender has been completed and permission to award the contract will be sought from Cabinet in March 2022.</w:t>
      </w:r>
    </w:p>
    <w:p w:rsidR="00207F43" w:rsidP="00207F43">
      <w:pPr>
        <w:ind w:left="360"/>
        <w:jc w:val="both"/>
        <w:rPr>
          <w:rFonts w:cstheme="minorHAnsi"/>
          <w:bCs/>
          <w:iCs/>
        </w:rPr>
      </w:pPr>
    </w:p>
    <w:p w:rsidR="00207F43" w:rsidP="00162B7F">
      <w:pPr>
        <w:numPr>
          <w:ilvl w:val="0"/>
          <w:numId w:val="8"/>
        </w:numPr>
        <w:jc w:val="both"/>
        <w:rPr>
          <w:rFonts w:cstheme="minorHAnsi"/>
          <w:bCs/>
          <w:iCs/>
        </w:rPr>
      </w:pPr>
      <w:r>
        <w:rPr>
          <w:rFonts w:cstheme="minorHAnsi"/>
          <w:bCs/>
          <w:iCs/>
        </w:rPr>
        <w:t>Electric Vehicle Charging Points – In January 2022 Council approved this new scheme, which is funded by two different grants totalling £264k and a contribution of £21.5k from the Climate Emergency reserve.</w:t>
      </w:r>
    </w:p>
    <w:p w:rsidR="00207F43" w:rsidRPr="00207F43" w:rsidP="00207F43">
      <w:pPr>
        <w:rPr>
          <w:rFonts w:cstheme="minorHAnsi"/>
          <w:bCs/>
          <w:iCs/>
        </w:rPr>
      </w:pPr>
    </w:p>
    <w:p w:rsidR="004571CA" w:rsidP="00E93C26">
      <w:pPr>
        <w:numPr>
          <w:ilvl w:val="0"/>
          <w:numId w:val="8"/>
        </w:numPr>
        <w:jc w:val="both"/>
        <w:rPr>
          <w:rFonts w:cstheme="minorHAnsi"/>
          <w:bCs/>
          <w:iCs/>
        </w:rPr>
      </w:pPr>
      <w:r w:rsidRPr="00896313">
        <w:rPr>
          <w:rFonts w:cstheme="minorHAnsi"/>
          <w:bCs/>
          <w:iCs/>
        </w:rPr>
        <w:t xml:space="preserve">Worden Park – Three schemes have been reprofiled to </w:t>
      </w:r>
      <w:r>
        <w:rPr>
          <w:rFonts w:cstheme="minorHAnsi"/>
          <w:bCs/>
          <w:iCs/>
        </w:rPr>
        <w:t>slip</w:t>
      </w:r>
      <w:r w:rsidRPr="00896313">
        <w:rPr>
          <w:rFonts w:cstheme="minorHAnsi"/>
          <w:bCs/>
          <w:iCs/>
        </w:rPr>
        <w:t xml:space="preserve"> the budget from 2021/22 to 2022/23</w:t>
      </w:r>
      <w:r>
        <w:rPr>
          <w:rFonts w:cstheme="minorHAnsi"/>
          <w:bCs/>
          <w:iCs/>
        </w:rPr>
        <w:t xml:space="preserve"> totalling £140k, in order to match budgets with the expected spending profile</w:t>
      </w:r>
      <w:r w:rsidRPr="00896313">
        <w:rPr>
          <w:rFonts w:cstheme="minorHAnsi"/>
          <w:bCs/>
          <w:iCs/>
        </w:rPr>
        <w:t xml:space="preserve">.  </w:t>
      </w:r>
      <w:r>
        <w:rPr>
          <w:rFonts w:cstheme="minorHAnsi"/>
          <w:bCs/>
          <w:iCs/>
        </w:rPr>
        <w:t>The budgets for three other schemes within this programme have been increased by £17</w:t>
      </w:r>
      <w:r>
        <w:rPr>
          <w:rFonts w:cstheme="minorHAnsi"/>
          <w:bCs/>
          <w:iCs/>
        </w:rPr>
        <w:t>7k following approval of the budget report by Council in February 2022.</w:t>
      </w:r>
    </w:p>
    <w:p w:rsidR="00AA3A82" w:rsidRPr="00896313" w:rsidP="00AA3A82">
      <w:pPr>
        <w:jc w:val="both"/>
        <w:rPr>
          <w:rFonts w:cstheme="minorHAnsi"/>
          <w:bCs/>
          <w:iCs/>
        </w:rPr>
      </w:pPr>
    </w:p>
    <w:p w:rsidR="004571CA" w:rsidP="00162B7F">
      <w:pPr>
        <w:numPr>
          <w:ilvl w:val="0"/>
          <w:numId w:val="8"/>
        </w:numPr>
        <w:jc w:val="both"/>
        <w:rPr>
          <w:rFonts w:cstheme="minorHAnsi"/>
          <w:bCs/>
          <w:iCs/>
        </w:rPr>
      </w:pPr>
      <w:r>
        <w:rPr>
          <w:rFonts w:cstheme="minorHAnsi"/>
          <w:bCs/>
          <w:iCs/>
        </w:rPr>
        <w:t xml:space="preserve">Hurst Grange Park – The remaining budget for drainage works has been reprofiled to 2022/23, along with the £40k budget for path works, to reflect expected spending profiles.  £60k of </w:t>
      </w:r>
      <w:r>
        <w:rPr>
          <w:rFonts w:cstheme="minorHAnsi"/>
          <w:bCs/>
          <w:iCs/>
        </w:rPr>
        <w:t>the Coach House budget has also been reprofiled to 2022/23 to allow for finalising works.</w:t>
      </w:r>
    </w:p>
    <w:p w:rsidR="004571CA" w:rsidP="004571CA">
      <w:pPr>
        <w:pStyle w:val="ListParagraph"/>
        <w:rPr>
          <w:rFonts w:cstheme="minorHAnsi"/>
          <w:bCs/>
          <w:iCs/>
        </w:rPr>
      </w:pPr>
    </w:p>
    <w:p w:rsidR="00162B7F" w:rsidP="00E93C26">
      <w:pPr>
        <w:numPr>
          <w:ilvl w:val="0"/>
          <w:numId w:val="8"/>
        </w:numPr>
        <w:jc w:val="both"/>
        <w:rPr>
          <w:rFonts w:cstheme="minorHAnsi"/>
          <w:bCs/>
          <w:iCs/>
        </w:rPr>
      </w:pPr>
      <w:r w:rsidRPr="004571CA">
        <w:rPr>
          <w:rFonts w:cstheme="minorHAnsi"/>
          <w:bCs/>
          <w:iCs/>
        </w:rPr>
        <w:t>Playgrounds and Open Space</w:t>
      </w:r>
      <w:r>
        <w:rPr>
          <w:rFonts w:cstheme="minorHAnsi"/>
          <w:bCs/>
          <w:iCs/>
        </w:rPr>
        <w:t>s –</w:t>
      </w:r>
      <w:r w:rsidRPr="004571CA">
        <w:rPr>
          <w:rFonts w:cstheme="minorHAnsi"/>
          <w:bCs/>
          <w:iCs/>
        </w:rPr>
        <w:t xml:space="preserve"> Three scheme</w:t>
      </w:r>
      <w:r>
        <w:rPr>
          <w:rFonts w:cstheme="minorHAnsi"/>
          <w:bCs/>
          <w:iCs/>
        </w:rPr>
        <w:t xml:space="preserve">s have been reprofiled to move the budgets in 2021/22 to 2022/23 to again match budgets with expected spending profiles – </w:t>
      </w:r>
      <w:r>
        <w:rPr>
          <w:rFonts w:cstheme="minorHAnsi"/>
          <w:bCs/>
          <w:iCs/>
        </w:rPr>
        <w:t>M</w:t>
      </w:r>
      <w:r>
        <w:rPr>
          <w:rFonts w:cstheme="minorHAnsi"/>
          <w:bCs/>
          <w:iCs/>
        </w:rPr>
        <w:t>ounsey</w:t>
      </w:r>
      <w:r>
        <w:rPr>
          <w:rFonts w:cstheme="minorHAnsi"/>
          <w:bCs/>
          <w:iCs/>
        </w:rPr>
        <w:t xml:space="preserve"> Road 25k, Moss Side Village Green £125k and Birch Avenue £75k.  The budgets for Birch Avenue and </w:t>
      </w:r>
      <w:r>
        <w:rPr>
          <w:rFonts w:cstheme="minorHAnsi"/>
          <w:bCs/>
          <w:iCs/>
        </w:rPr>
        <w:t>Mounsey</w:t>
      </w:r>
      <w:r>
        <w:rPr>
          <w:rFonts w:cstheme="minorHAnsi"/>
          <w:bCs/>
          <w:iCs/>
        </w:rPr>
        <w:t xml:space="preserve"> Road have also been increased to £145k and £80k respectively, as approved by Council in February as part of the budget report.  In addition, 12 </w:t>
      </w:r>
      <w:r>
        <w:rPr>
          <w:rFonts w:cstheme="minorHAnsi"/>
          <w:bCs/>
          <w:iCs/>
        </w:rPr>
        <w:t>new schemes have been added to the programme with a total budget of £916k, which were also outlined in the 2021/22 Budget report.</w:t>
      </w:r>
    </w:p>
    <w:p w:rsidR="004571CA" w:rsidP="004571CA">
      <w:pPr>
        <w:pStyle w:val="ListParagraph"/>
        <w:rPr>
          <w:rFonts w:cstheme="minorHAnsi"/>
          <w:bCs/>
          <w:iCs/>
        </w:rPr>
      </w:pPr>
    </w:p>
    <w:p w:rsidR="004571CA" w:rsidP="00E93C26">
      <w:pPr>
        <w:numPr>
          <w:ilvl w:val="0"/>
          <w:numId w:val="8"/>
        </w:numPr>
        <w:jc w:val="both"/>
        <w:rPr>
          <w:rFonts w:cstheme="minorHAnsi"/>
          <w:bCs/>
          <w:iCs/>
        </w:rPr>
      </w:pPr>
      <w:r>
        <w:rPr>
          <w:rFonts w:cstheme="minorHAnsi"/>
          <w:bCs/>
          <w:iCs/>
        </w:rPr>
        <w:t>Sports Pitch Hub – There have been delays on the scheme due to poor weather conditions.  As a result, £800k has been reprofil</w:t>
      </w:r>
      <w:r>
        <w:rPr>
          <w:rFonts w:cstheme="minorHAnsi"/>
          <w:bCs/>
          <w:iCs/>
        </w:rPr>
        <w:t>ed into 2022/23 to reflect the revised construction timeline.</w:t>
      </w:r>
    </w:p>
    <w:p w:rsidR="00C058A5" w:rsidP="00C058A5">
      <w:pPr>
        <w:pStyle w:val="ListParagraph"/>
        <w:rPr>
          <w:rFonts w:cstheme="minorHAnsi"/>
          <w:bCs/>
          <w:iCs/>
        </w:rPr>
      </w:pPr>
    </w:p>
    <w:p w:rsidR="00425C6A" w:rsidP="00D011C2">
      <w:pPr>
        <w:numPr>
          <w:ilvl w:val="0"/>
          <w:numId w:val="8"/>
        </w:numPr>
        <w:jc w:val="both"/>
        <w:rPr>
          <w:rFonts w:cstheme="minorHAnsi"/>
          <w:bCs/>
          <w:iCs/>
        </w:rPr>
      </w:pPr>
      <w:r>
        <w:rPr>
          <w:rFonts w:cstheme="minorHAnsi"/>
          <w:bCs/>
          <w:iCs/>
        </w:rPr>
        <w:t xml:space="preserve">Decarbonisation – In September 2021 Council approved the </w:t>
      </w:r>
      <w:r w:rsidRPr="00C058A5">
        <w:rPr>
          <w:rFonts w:cstheme="minorHAnsi"/>
          <w:bCs/>
          <w:iCs/>
        </w:rPr>
        <w:t>creation of a budget equivalent to the value of any successful grant bid</w:t>
      </w:r>
      <w:r>
        <w:rPr>
          <w:rFonts w:cstheme="minorHAnsi"/>
          <w:bCs/>
          <w:iCs/>
        </w:rPr>
        <w:t>.  Confirmation of the grant, at a value of £4.969m, has now bee</w:t>
      </w:r>
      <w:r>
        <w:rPr>
          <w:rFonts w:cstheme="minorHAnsi"/>
          <w:bCs/>
          <w:iCs/>
        </w:rPr>
        <w:t xml:space="preserve">n received.  </w:t>
      </w:r>
    </w:p>
    <w:p w:rsidR="00D011C2" w:rsidRPr="00D011C2" w:rsidP="00D011C2">
      <w:pPr>
        <w:jc w:val="both"/>
        <w:rPr>
          <w:rFonts w:cstheme="minorHAnsi"/>
          <w:bCs/>
          <w:iCs/>
        </w:rPr>
      </w:pPr>
    </w:p>
    <w:p w:rsidR="00425C6A" w:rsidP="00E93C26">
      <w:pPr>
        <w:numPr>
          <w:ilvl w:val="0"/>
          <w:numId w:val="8"/>
        </w:numPr>
        <w:jc w:val="both"/>
        <w:rPr>
          <w:rFonts w:cstheme="minorHAnsi"/>
          <w:bCs/>
          <w:iCs/>
        </w:rPr>
      </w:pPr>
      <w:r>
        <w:rPr>
          <w:rFonts w:cstheme="minorHAnsi"/>
          <w:bCs/>
          <w:iCs/>
        </w:rPr>
        <w:t>Disabled Facilities Grants (DFGs) – £267k of the budget for 2021/22 has been reprofiled to 2022/23.  The list of approved allocations would utilise all of the grant but it is unlikely that all of the works will be completed before year-end a</w:t>
      </w:r>
      <w:r>
        <w:rPr>
          <w:rFonts w:cstheme="minorHAnsi"/>
          <w:bCs/>
          <w:iCs/>
        </w:rPr>
        <w:t xml:space="preserve">s past experience shows that there are always delays in customers finalising works with contractors or complementary works being carried out by LCC.  In addition, the budgets in each of the following 3 years have been increased to £774k to match the grant </w:t>
      </w:r>
      <w:r>
        <w:rPr>
          <w:rFonts w:cstheme="minorHAnsi"/>
          <w:bCs/>
          <w:iCs/>
        </w:rPr>
        <w:t xml:space="preserve">allocation for 2021/22.  The total increase in future years is £958k which comprises £92k in 22/23 (on top of the £267 reprofiled from 21/22), £92k in 23/24 and the full £774k in 24/25 since there was no budget previously included for that year. </w:t>
      </w:r>
    </w:p>
    <w:p w:rsidR="00425C6A" w:rsidP="00425C6A">
      <w:pPr>
        <w:pStyle w:val="ListParagraph"/>
        <w:rPr>
          <w:rFonts w:cstheme="minorHAnsi"/>
          <w:bCs/>
          <w:iCs/>
        </w:rPr>
      </w:pPr>
    </w:p>
    <w:p w:rsidR="00425C6A" w:rsidRPr="004571CA" w:rsidP="00E93C26">
      <w:pPr>
        <w:numPr>
          <w:ilvl w:val="0"/>
          <w:numId w:val="8"/>
        </w:numPr>
        <w:jc w:val="both"/>
        <w:rPr>
          <w:rFonts w:cstheme="minorHAnsi"/>
          <w:bCs/>
          <w:iCs/>
        </w:rPr>
      </w:pPr>
      <w:r>
        <w:rPr>
          <w:rFonts w:cstheme="minorHAnsi"/>
          <w:bCs/>
          <w:iCs/>
        </w:rPr>
        <w:t xml:space="preserve">Housing </w:t>
      </w:r>
      <w:r>
        <w:rPr>
          <w:rFonts w:cstheme="minorHAnsi"/>
          <w:bCs/>
          <w:iCs/>
        </w:rPr>
        <w:t>Grants – The budgets for Empty Properties grants and Private Sector Housing Improvements grants have been reprofiled by £39k and £48k respectively as there has been very little take-up of the grants during the year.</w:t>
      </w:r>
    </w:p>
    <w:p w:rsidR="00162B7F" w:rsidP="00162B7F">
      <w:pPr>
        <w:jc w:val="both"/>
        <w:rPr>
          <w:rFonts w:cstheme="minorHAnsi"/>
          <w:bCs/>
          <w:iCs/>
        </w:rPr>
      </w:pPr>
      <w:bookmarkEnd w:id="3"/>
    </w:p>
    <w:p w:rsidR="00706B3F" w:rsidP="00162B7F">
      <w:pPr>
        <w:jc w:val="both"/>
        <w:rPr>
          <w:rFonts w:cstheme="minorHAnsi"/>
          <w:bCs/>
          <w:iCs/>
        </w:rPr>
      </w:pPr>
    </w:p>
    <w:p w:rsidR="00162B7F" w:rsidRPr="00D30E15" w:rsidP="00162B7F">
      <w:pPr>
        <w:pStyle w:val="Heading2"/>
      </w:pPr>
      <w:r w:rsidRPr="00D30E15">
        <w:t>A Fair Economy that works for everyone</w:t>
      </w:r>
    </w:p>
    <w:p w:rsidR="00706B3F" w:rsidRPr="001019B4" w:rsidP="00126CD3">
      <w:pPr>
        <w:numPr>
          <w:ilvl w:val="0"/>
          <w:numId w:val="8"/>
        </w:numPr>
        <w:jc w:val="both"/>
        <w:rPr>
          <w:rFonts w:cstheme="minorHAnsi"/>
          <w:bCs/>
          <w:iCs/>
        </w:rPr>
      </w:pPr>
      <w:r>
        <w:rPr>
          <w:rFonts w:cstheme="minorHAnsi"/>
          <w:bCs/>
          <w:iCs/>
        </w:rPr>
        <w:t>At the 23</w:t>
      </w:r>
      <w:r w:rsidRPr="001019B4">
        <w:rPr>
          <w:rFonts w:cstheme="minorHAnsi"/>
          <w:bCs/>
          <w:iCs/>
          <w:vertAlign w:val="superscript"/>
        </w:rPr>
        <w:t>rd</w:t>
      </w:r>
      <w:r>
        <w:rPr>
          <w:rFonts w:cstheme="minorHAnsi"/>
          <w:bCs/>
          <w:iCs/>
        </w:rPr>
        <w:t xml:space="preserve"> February Council meeting a paper was approved increasing the capital budget by £32.1m in respect of the Towns Fund programme.  This scheme has been broken into component parts in the programme but the split will continue to be reviewed and may be subject </w:t>
      </w:r>
      <w:r>
        <w:rPr>
          <w:rFonts w:cstheme="minorHAnsi"/>
          <w:bCs/>
          <w:iCs/>
        </w:rPr>
        <w:t xml:space="preserve">to change as the project evolves.  </w:t>
      </w:r>
    </w:p>
    <w:p w:rsidR="007C3BFC" w:rsidP="00162B7F">
      <w:pPr>
        <w:jc w:val="both"/>
        <w:rPr>
          <w:rFonts w:cstheme="minorHAnsi"/>
          <w:bCs/>
          <w:iCs/>
        </w:rPr>
      </w:pPr>
    </w:p>
    <w:p w:rsidR="00162B7F" w:rsidRPr="00D30E15" w:rsidP="00162B7F">
      <w:pPr>
        <w:pStyle w:val="Heading2"/>
      </w:pPr>
      <w:r w:rsidRPr="004662F0">
        <w:t>Thriving Communities</w:t>
      </w:r>
    </w:p>
    <w:p w:rsidR="00162B7F" w:rsidP="00162B7F">
      <w:pPr>
        <w:numPr>
          <w:ilvl w:val="0"/>
          <w:numId w:val="8"/>
        </w:numPr>
        <w:jc w:val="both"/>
        <w:rPr>
          <w:rFonts w:cstheme="minorHAnsi"/>
          <w:bCs/>
          <w:iCs/>
        </w:rPr>
      </w:pPr>
      <w:r>
        <w:rPr>
          <w:rFonts w:cstheme="minorHAnsi"/>
          <w:bCs/>
          <w:iCs/>
        </w:rPr>
        <w:t>Churchyard wall repairs at St Mary’s, Penwortham – Spending in 2021/22 relates to work in the churchyard; a</w:t>
      </w:r>
      <w:r>
        <w:rPr>
          <w:rFonts w:cstheme="minorHAnsi"/>
          <w:bCs/>
          <w:iCs/>
        </w:rPr>
        <w:t xml:space="preserve"> tender process is underway for the main works to the wall itself, which are expected to be undertaken in 2022/23 and so the remaining budget of £86k has been reprofiled accordingly.</w:t>
      </w:r>
    </w:p>
    <w:p w:rsidR="00DF21E2" w:rsidP="00DF21E2">
      <w:pPr>
        <w:ind w:left="360"/>
        <w:jc w:val="both"/>
        <w:rPr>
          <w:rFonts w:cstheme="minorHAnsi"/>
          <w:bCs/>
          <w:iCs/>
        </w:rPr>
      </w:pPr>
    </w:p>
    <w:p w:rsidR="00DF21E2" w:rsidRPr="007D2DE1" w:rsidP="00162B7F">
      <w:pPr>
        <w:numPr>
          <w:ilvl w:val="0"/>
          <w:numId w:val="8"/>
        </w:numPr>
        <w:jc w:val="both"/>
        <w:rPr>
          <w:rFonts w:cstheme="minorHAnsi"/>
          <w:bCs/>
          <w:iCs/>
        </w:rPr>
      </w:pPr>
      <w:r>
        <w:rPr>
          <w:rFonts w:cstheme="minorHAnsi"/>
          <w:bCs/>
          <w:iCs/>
        </w:rPr>
        <w:t xml:space="preserve">Vernon </w:t>
      </w:r>
      <w:r>
        <w:rPr>
          <w:rFonts w:cstheme="minorHAnsi"/>
          <w:bCs/>
          <w:iCs/>
        </w:rPr>
        <w:t>Carus</w:t>
      </w:r>
      <w:r>
        <w:rPr>
          <w:rFonts w:cstheme="minorHAnsi"/>
          <w:bCs/>
          <w:iCs/>
        </w:rPr>
        <w:t xml:space="preserve"> Sports Club – At Cabinet in November 2021, an increase of £</w:t>
      </w:r>
      <w:r>
        <w:rPr>
          <w:rFonts w:cstheme="minorHAnsi"/>
          <w:bCs/>
          <w:iCs/>
        </w:rPr>
        <w:t>75k was approved covered by £50k of new external funding and £25k from the Council’s internal resources.  The budget has increased by a further £15k with a transfer from the ‘Leisure Local’ budget, which was approved via an EMD in January 2022.</w:t>
      </w:r>
    </w:p>
    <w:p w:rsidR="00D011C2" w:rsidP="00162B7F">
      <w:pPr>
        <w:jc w:val="both"/>
        <w:rPr>
          <w:rFonts w:cstheme="minorHAnsi"/>
          <w:bCs/>
          <w:iCs/>
        </w:rPr>
      </w:pPr>
    </w:p>
    <w:p w:rsidR="007F2D1E" w:rsidP="00162B7F">
      <w:pPr>
        <w:jc w:val="both"/>
        <w:rPr>
          <w:rFonts w:cstheme="minorHAnsi"/>
          <w:bCs/>
          <w:iCs/>
        </w:rPr>
      </w:pPr>
    </w:p>
    <w:p w:rsidR="00162B7F" w:rsidRPr="00D30E15" w:rsidP="00162B7F">
      <w:pPr>
        <w:pStyle w:val="Heading2"/>
      </w:pPr>
      <w:r>
        <w:t>An Exempl</w:t>
      </w:r>
      <w:r>
        <w:t>ary Council</w:t>
      </w:r>
    </w:p>
    <w:p w:rsidR="00162B7F" w:rsidP="00162B7F">
      <w:pPr>
        <w:numPr>
          <w:ilvl w:val="0"/>
          <w:numId w:val="8"/>
        </w:numPr>
        <w:jc w:val="both"/>
        <w:rPr>
          <w:rFonts w:cstheme="minorHAnsi"/>
          <w:bCs/>
          <w:iCs/>
        </w:rPr>
      </w:pPr>
      <w:r>
        <w:rPr>
          <w:rFonts w:cstheme="minorHAnsi"/>
          <w:bCs/>
          <w:iCs/>
        </w:rPr>
        <w:t xml:space="preserve">IT </w:t>
      </w:r>
      <w:r w:rsidRPr="00706B3F">
        <w:rPr>
          <w:rFonts w:cstheme="minorHAnsi"/>
          <w:bCs/>
          <w:iCs/>
        </w:rPr>
        <w:t>Mobile Devices, Citrix, CCTV, Software and Cloud-based upgrades</w:t>
      </w:r>
      <w:r>
        <w:rPr>
          <w:rFonts w:cstheme="minorHAnsi"/>
          <w:bCs/>
          <w:iCs/>
        </w:rPr>
        <w:t xml:space="preserve"> – This is a new scheme approved at Council in February 2022.  The budget has been profiled with £100k of expenditure expected in 2021/22 and the remaining £870k in 2022/23.  It </w:t>
      </w:r>
      <w:r>
        <w:rPr>
          <w:rFonts w:cstheme="minorHAnsi"/>
          <w:bCs/>
          <w:iCs/>
        </w:rPr>
        <w:t>is funded by various reserves and from underspends in IT revenue budgets in 2021/22.</w:t>
      </w:r>
    </w:p>
    <w:p w:rsidR="00706B3F" w:rsidP="00706B3F">
      <w:pPr>
        <w:ind w:left="360"/>
        <w:jc w:val="both"/>
        <w:rPr>
          <w:rFonts w:cstheme="minorHAnsi"/>
          <w:bCs/>
          <w:iCs/>
        </w:rPr>
      </w:pPr>
    </w:p>
    <w:p w:rsidR="00423D68" w:rsidP="00423D68">
      <w:pPr>
        <w:numPr>
          <w:ilvl w:val="0"/>
          <w:numId w:val="8"/>
        </w:numPr>
        <w:jc w:val="both"/>
        <w:rPr>
          <w:rFonts w:cstheme="minorHAnsi"/>
          <w:bCs/>
          <w:iCs/>
        </w:rPr>
      </w:pPr>
      <w:r>
        <w:rPr>
          <w:rFonts w:cstheme="minorHAnsi"/>
          <w:bCs/>
          <w:iCs/>
        </w:rPr>
        <w:t>IT Other Schemes – The budgets for several projects, totalling £121k, have been combined into the general IT budget, taking the total to £183k; all of this has been repro</w:t>
      </w:r>
      <w:r>
        <w:rPr>
          <w:rFonts w:cstheme="minorHAnsi"/>
          <w:bCs/>
          <w:iCs/>
        </w:rPr>
        <w:t>filed into 2022/23.  The is due to a revision in IT requirements for 2022/23.  The ‘Civic Centre hearing loop’ project for £35k has been kept as a separate project and reprofiled into 2022/23.</w:t>
      </w:r>
    </w:p>
    <w:p w:rsidR="00423D68" w:rsidP="00423D68">
      <w:pPr>
        <w:pStyle w:val="ListParagraph"/>
        <w:rPr>
          <w:rFonts w:cstheme="minorHAnsi"/>
          <w:bCs/>
          <w:iCs/>
        </w:rPr>
      </w:pPr>
    </w:p>
    <w:p w:rsidR="00423D68" w:rsidRPr="00423D68" w:rsidP="00423D68">
      <w:pPr>
        <w:numPr>
          <w:ilvl w:val="0"/>
          <w:numId w:val="8"/>
        </w:numPr>
        <w:jc w:val="both"/>
        <w:rPr>
          <w:rFonts w:cstheme="minorHAnsi"/>
          <w:bCs/>
          <w:iCs/>
        </w:rPr>
      </w:pPr>
      <w:r>
        <w:rPr>
          <w:rFonts w:cstheme="minorHAnsi"/>
          <w:bCs/>
          <w:iCs/>
        </w:rPr>
        <w:t>Vehicle Replacement Programme – £534 has been reprofiled to 20</w:t>
      </w:r>
      <w:r>
        <w:rPr>
          <w:rFonts w:cstheme="minorHAnsi"/>
          <w:bCs/>
          <w:iCs/>
        </w:rPr>
        <w:t>22/23 due to delays in the delivery of several vehicles.</w:t>
      </w:r>
    </w:p>
    <w:p w:rsidR="00162B7F" w:rsidRPr="000A1B2E" w:rsidP="00162B7F">
      <w:pPr>
        <w:jc w:val="both"/>
        <w:rPr>
          <w:rFonts w:cstheme="minorHAnsi"/>
          <w:bCs/>
          <w:iCs/>
        </w:rPr>
      </w:pPr>
    </w:p>
    <w:p w:rsidR="00162B7F" w:rsidP="00162B7F">
      <w:pPr>
        <w:jc w:val="both"/>
        <w:rPr>
          <w:rFonts w:cstheme="minorHAnsi"/>
          <w:bCs/>
          <w:iCs/>
        </w:rPr>
      </w:pPr>
    </w:p>
    <w:p w:rsidR="00162B7F" w:rsidRPr="00D30E15" w:rsidP="00052DF7">
      <w:pPr>
        <w:pStyle w:val="Heading1"/>
      </w:pPr>
      <w:r>
        <w:t xml:space="preserve">Section B: </w:t>
      </w:r>
      <w:r w:rsidRPr="00D30E15">
        <w:t>Balance Sheet</w:t>
      </w:r>
    </w:p>
    <w:p w:rsidR="00162B7F" w:rsidRPr="00D30E15" w:rsidP="00162B7F">
      <w:pPr>
        <w:pStyle w:val="Heading2"/>
      </w:pPr>
      <w:r>
        <w:t>Overview</w:t>
      </w:r>
    </w:p>
    <w:p w:rsidR="00162B7F" w:rsidP="00162B7F">
      <w:pPr>
        <w:numPr>
          <w:ilvl w:val="0"/>
          <w:numId w:val="8"/>
        </w:numPr>
        <w:jc w:val="both"/>
        <w:rPr>
          <w:rFonts w:cstheme="minorHAnsi"/>
          <w:bCs/>
          <w:iCs/>
        </w:rPr>
      </w:pPr>
      <w:r w:rsidRPr="007148BC">
        <w:rPr>
          <w:rFonts w:cstheme="minorHAnsi"/>
          <w:bCs/>
          <w:iCs/>
        </w:rPr>
        <w:t>Strong balance sheet management assists in the effective use and control over the Council’s asset and liabilities. Key assets comprise of the Council’s tangible fi</w:t>
      </w:r>
      <w:r w:rsidRPr="007148BC">
        <w:rPr>
          <w:rFonts w:cstheme="minorHAnsi"/>
          <w:bCs/>
          <w:iCs/>
        </w:rPr>
        <w:t>xed assets, debtors, investments and bank balances. Key liabilities include long and short-term borrowing, creditors and reserves</w:t>
      </w:r>
      <w:r>
        <w:rPr>
          <w:rFonts w:cstheme="minorHAnsi"/>
          <w:bCs/>
          <w:iCs/>
        </w:rPr>
        <w:t>.</w:t>
      </w:r>
    </w:p>
    <w:p w:rsidR="00162B7F" w:rsidP="00162B7F">
      <w:pPr>
        <w:jc w:val="both"/>
        <w:rPr>
          <w:rFonts w:cstheme="minorHAnsi"/>
          <w:bCs/>
          <w:iCs/>
        </w:rPr>
      </w:pPr>
    </w:p>
    <w:p w:rsidR="00162B7F" w:rsidRPr="00D30E15" w:rsidP="00162B7F">
      <w:pPr>
        <w:pStyle w:val="Heading2"/>
      </w:pPr>
      <w:r w:rsidRPr="00D30E15">
        <w:t>Non-current Assets</w:t>
      </w:r>
    </w:p>
    <w:p w:rsidR="00162B7F" w:rsidRPr="00CE41AB" w:rsidP="00162B7F">
      <w:pPr>
        <w:numPr>
          <w:ilvl w:val="0"/>
          <w:numId w:val="8"/>
        </w:numPr>
        <w:jc w:val="both"/>
        <w:rPr>
          <w:rFonts w:cstheme="minorHAnsi"/>
          <w:bCs/>
          <w:iCs/>
        </w:rPr>
      </w:pPr>
      <w:r w:rsidRPr="007148BC">
        <w:rPr>
          <w:rFonts w:cstheme="minorHAnsi"/>
          <w:bCs/>
          <w:iCs/>
        </w:rPr>
        <w:t>Tangible non-current assets include property, plant and equipment held by the Council for use in the production or supply of goods and services, for rental to others or for administrative purposes. One fifth of all assets are re-valued every year, and annu</w:t>
      </w:r>
      <w:r w:rsidRPr="007148BC">
        <w:rPr>
          <w:rFonts w:cstheme="minorHAnsi"/>
          <w:bCs/>
          <w:iCs/>
        </w:rPr>
        <w:t xml:space="preserve">al reviews are undertaken to establish whether any impairment or other adjustments need to be applied. New assets and enhancements to existing assets are managed through the Capital Programme as </w:t>
      </w:r>
      <w:r w:rsidRPr="00CE41AB">
        <w:rPr>
          <w:rFonts w:cstheme="minorHAnsi"/>
          <w:bCs/>
          <w:iCs/>
        </w:rPr>
        <w:t>reported in Appendices A and B.</w:t>
      </w:r>
    </w:p>
    <w:p w:rsidR="00162B7F" w:rsidP="00162B7F">
      <w:pPr>
        <w:jc w:val="both"/>
        <w:rPr>
          <w:rFonts w:cstheme="minorHAnsi"/>
          <w:bCs/>
          <w:iCs/>
        </w:rPr>
      </w:pPr>
    </w:p>
    <w:p w:rsidR="00162B7F" w:rsidRPr="00D30E15" w:rsidP="00162B7F">
      <w:pPr>
        <w:pStyle w:val="Heading2"/>
      </w:pPr>
      <w:r w:rsidRPr="00D30E15">
        <w:t xml:space="preserve">Borrowing and </w:t>
      </w:r>
      <w:r w:rsidRPr="00D30E15">
        <w:t>Investments</w:t>
      </w:r>
    </w:p>
    <w:p w:rsidR="00162B7F" w:rsidP="00162B7F">
      <w:pPr>
        <w:numPr>
          <w:ilvl w:val="0"/>
          <w:numId w:val="8"/>
        </w:numPr>
        <w:jc w:val="both"/>
        <w:rPr>
          <w:rFonts w:cstheme="minorHAnsi"/>
          <w:bCs/>
          <w:iCs/>
        </w:rPr>
      </w:pPr>
      <w:r w:rsidRPr="007148BC">
        <w:rPr>
          <w:rFonts w:cstheme="minorHAnsi"/>
          <w:bCs/>
          <w:iCs/>
        </w:rPr>
        <w:t xml:space="preserve">Long-term borrowing requirements flow from the capital programme. Regular dialogue and meetings take place between the Director of Finance, her staff and the Council’s independent Treasury </w:t>
      </w:r>
      <w:r w:rsidRPr="00C25EDA">
        <w:rPr>
          <w:rFonts w:cstheme="minorHAnsi"/>
          <w:bCs/>
          <w:iCs/>
        </w:rPr>
        <w:t>Consultants, Link Treasury Services, and</w:t>
      </w:r>
      <w:r w:rsidRPr="007148BC">
        <w:rPr>
          <w:rFonts w:cstheme="minorHAnsi"/>
          <w:bCs/>
          <w:iCs/>
        </w:rPr>
        <w:t xml:space="preserve"> options for op</w:t>
      </w:r>
      <w:r w:rsidRPr="007148BC">
        <w:rPr>
          <w:rFonts w:cstheme="minorHAnsi"/>
          <w:bCs/>
          <w:iCs/>
        </w:rPr>
        <w:t>timising treasury management activities are actively reviewed.</w:t>
      </w:r>
    </w:p>
    <w:p w:rsidR="00162B7F" w:rsidP="00162B7F">
      <w:pPr>
        <w:ind w:left="360"/>
        <w:jc w:val="both"/>
        <w:rPr>
          <w:rFonts w:cstheme="minorHAnsi"/>
          <w:bCs/>
          <w:iCs/>
        </w:rPr>
      </w:pPr>
    </w:p>
    <w:p w:rsidR="00162B7F" w:rsidP="00162B7F">
      <w:pPr>
        <w:ind w:left="360"/>
        <w:jc w:val="both"/>
        <w:rPr>
          <w:rFonts w:cstheme="minorHAnsi"/>
          <w:bCs/>
          <w:iCs/>
        </w:rPr>
      </w:pPr>
      <w:r w:rsidRPr="00F44A68">
        <w:rPr>
          <w:rFonts w:cstheme="minorHAnsi"/>
          <w:bCs/>
          <w:iCs/>
        </w:rPr>
        <w:t xml:space="preserve">Both short and long-term borrowing interest rates were at low levels at the end of the period, having remained stable over the course of the year. Interest rates on investments have remained </w:t>
      </w:r>
      <w:r>
        <w:rPr>
          <w:rFonts w:cstheme="minorHAnsi"/>
          <w:bCs/>
          <w:iCs/>
        </w:rPr>
        <w:t>v</w:t>
      </w:r>
      <w:r>
        <w:rPr>
          <w:rFonts w:cstheme="minorHAnsi"/>
          <w:bCs/>
          <w:iCs/>
        </w:rPr>
        <w:t>ery low</w:t>
      </w:r>
      <w:r w:rsidRPr="00F44A68">
        <w:rPr>
          <w:rFonts w:cstheme="minorHAnsi"/>
          <w:bCs/>
          <w:iCs/>
        </w:rPr>
        <w:t xml:space="preserve"> throughout the period. It is projected that debt interest payable will be nil compared to a budget of £83k as the expected borrowing has not been required due to the timing of schemes within the capital programme, and due to positive cash balances.</w:t>
      </w:r>
      <w:r w:rsidRPr="00F44A68">
        <w:rPr>
          <w:rFonts w:cstheme="minorHAnsi"/>
          <w:bCs/>
          <w:iCs/>
        </w:rPr>
        <w:t xml:space="preserve">  Interest receivable on cash and investments is forecasted to be £5</w:t>
      </w:r>
      <w:r>
        <w:rPr>
          <w:rFonts w:cstheme="minorHAnsi"/>
          <w:bCs/>
          <w:iCs/>
        </w:rPr>
        <w:t>0</w:t>
      </w:r>
      <w:r w:rsidRPr="00F44A68">
        <w:rPr>
          <w:rFonts w:cstheme="minorHAnsi"/>
          <w:bCs/>
          <w:iCs/>
        </w:rPr>
        <w:t>k compared to a budget of £200k due to interest rates being lower than those estimated at budget setting</w:t>
      </w:r>
      <w:r>
        <w:rPr>
          <w:rFonts w:cstheme="minorHAnsi"/>
          <w:bCs/>
          <w:iCs/>
        </w:rPr>
        <w:t>; this is a decrease of £5k compared to the forecast in the last report.</w:t>
      </w:r>
    </w:p>
    <w:p w:rsidR="00162B7F" w:rsidP="00162B7F">
      <w:pPr>
        <w:ind w:left="360"/>
        <w:jc w:val="both"/>
        <w:rPr>
          <w:rFonts w:cstheme="minorHAnsi"/>
          <w:bCs/>
          <w:iCs/>
        </w:rPr>
      </w:pPr>
    </w:p>
    <w:tbl>
      <w:tblPr>
        <w:tblStyle w:val="TableGrid"/>
        <w:tblW w:w="0" w:type="auto"/>
        <w:tblInd w:w="279" w:type="dxa"/>
        <w:tblLook w:val="04A0"/>
      </w:tblPr>
      <w:tblGrid>
        <w:gridCol w:w="3827"/>
        <w:gridCol w:w="2455"/>
        <w:gridCol w:w="2455"/>
      </w:tblGrid>
      <w:tr w:rsidTr="00162B7F">
        <w:tblPrEx>
          <w:tblW w:w="0" w:type="auto"/>
          <w:tblInd w:w="279" w:type="dxa"/>
          <w:tblLook w:val="04A0"/>
        </w:tblPrEx>
        <w:tc>
          <w:tcPr>
            <w:tcW w:w="3827" w:type="dxa"/>
            <w:shd w:val="clear" w:color="auto" w:fill="D9D9D9" w:themeFill="background1" w:themeFillShade="D9"/>
          </w:tcPr>
          <w:p w:rsidR="00162B7F" w:rsidRPr="00E477A9" w:rsidP="00162B7F">
            <w:pPr>
              <w:jc w:val="both"/>
              <w:rPr>
                <w:rFonts w:cstheme="minorHAnsi"/>
                <w:b/>
              </w:rPr>
            </w:pPr>
          </w:p>
        </w:tc>
        <w:tc>
          <w:tcPr>
            <w:tcW w:w="2455" w:type="dxa"/>
            <w:shd w:val="clear" w:color="auto" w:fill="D9D9D9" w:themeFill="background1" w:themeFillShade="D9"/>
          </w:tcPr>
          <w:p w:rsidR="00684375" w:rsidP="00684375">
            <w:pPr>
              <w:jc w:val="center"/>
              <w:rPr>
                <w:rFonts w:cstheme="minorHAnsi"/>
                <w:b/>
              </w:rPr>
            </w:pPr>
            <w:r w:rsidRPr="00E477A9">
              <w:rPr>
                <w:rFonts w:cstheme="minorHAnsi"/>
                <w:b/>
              </w:rPr>
              <w:t>Forecast</w:t>
            </w:r>
            <w:r w:rsidRPr="00E477A9">
              <w:rPr>
                <w:rFonts w:cstheme="minorHAnsi"/>
                <w:b/>
              </w:rPr>
              <w:t xml:space="preserve"> </w:t>
            </w:r>
            <w:r>
              <w:rPr>
                <w:rFonts w:cstheme="minorHAnsi"/>
                <w:b/>
              </w:rPr>
              <w:t xml:space="preserve">as </w:t>
            </w:r>
            <w:r w:rsidRPr="00E477A9">
              <w:rPr>
                <w:rFonts w:cstheme="minorHAnsi"/>
                <w:b/>
              </w:rPr>
              <w:t xml:space="preserve">at </w:t>
            </w:r>
            <w:r>
              <w:rPr>
                <w:rFonts w:cstheme="minorHAnsi"/>
                <w:b/>
              </w:rPr>
              <w:t>31</w:t>
            </w:r>
            <w:r w:rsidRPr="0033796E">
              <w:rPr>
                <w:rFonts w:cstheme="minorHAnsi"/>
                <w:b/>
                <w:vertAlign w:val="superscript"/>
              </w:rPr>
              <w:t>st</w:t>
            </w:r>
            <w:r>
              <w:rPr>
                <w:rFonts w:cstheme="minorHAnsi"/>
                <w:b/>
              </w:rPr>
              <w:t xml:space="preserve"> January 2022</w:t>
            </w:r>
          </w:p>
          <w:p w:rsidR="00162B7F" w:rsidRPr="00E477A9" w:rsidP="00684375">
            <w:pPr>
              <w:jc w:val="center"/>
              <w:rPr>
                <w:rFonts w:cstheme="minorHAnsi"/>
                <w:b/>
              </w:rPr>
            </w:pPr>
            <w:r>
              <w:rPr>
                <w:rFonts w:cstheme="minorHAnsi"/>
                <w:b/>
              </w:rPr>
              <w:t>£’000</w:t>
            </w:r>
          </w:p>
        </w:tc>
        <w:tc>
          <w:tcPr>
            <w:tcW w:w="2455" w:type="dxa"/>
            <w:shd w:val="clear" w:color="auto" w:fill="D9D9D9" w:themeFill="background1" w:themeFillShade="D9"/>
          </w:tcPr>
          <w:p w:rsidR="00162B7F" w:rsidP="00162B7F">
            <w:pPr>
              <w:jc w:val="center"/>
              <w:rPr>
                <w:rFonts w:cstheme="minorHAnsi"/>
                <w:b/>
              </w:rPr>
            </w:pPr>
            <w:r w:rsidRPr="00E477A9">
              <w:rPr>
                <w:rFonts w:cstheme="minorHAnsi"/>
                <w:b/>
              </w:rPr>
              <w:t xml:space="preserve">Forecast </w:t>
            </w:r>
            <w:r>
              <w:rPr>
                <w:rFonts w:cstheme="minorHAnsi"/>
                <w:b/>
              </w:rPr>
              <w:t xml:space="preserve">as </w:t>
            </w:r>
            <w:r w:rsidRPr="00E477A9">
              <w:rPr>
                <w:rFonts w:cstheme="minorHAnsi"/>
                <w:b/>
              </w:rPr>
              <w:t xml:space="preserve">at </w:t>
            </w:r>
            <w:r>
              <w:rPr>
                <w:rFonts w:cstheme="minorHAnsi"/>
                <w:b/>
              </w:rPr>
              <w:t>30</w:t>
            </w:r>
            <w:r w:rsidRPr="0033796E">
              <w:rPr>
                <w:rFonts w:cstheme="minorHAnsi"/>
                <w:b/>
                <w:vertAlign w:val="superscript"/>
              </w:rPr>
              <w:t>th</w:t>
            </w:r>
            <w:r>
              <w:rPr>
                <w:rFonts w:cstheme="minorHAnsi"/>
                <w:b/>
              </w:rPr>
              <w:t xml:space="preserve"> September 2021</w:t>
            </w:r>
          </w:p>
          <w:p w:rsidR="00162B7F" w:rsidRPr="00E477A9" w:rsidP="00162B7F">
            <w:pPr>
              <w:jc w:val="center"/>
              <w:rPr>
                <w:rFonts w:cstheme="minorHAnsi"/>
                <w:b/>
              </w:rPr>
            </w:pPr>
            <w:r>
              <w:rPr>
                <w:rFonts w:cstheme="minorHAnsi"/>
                <w:b/>
              </w:rPr>
              <w:t>£’000</w:t>
            </w:r>
          </w:p>
        </w:tc>
      </w:tr>
      <w:tr w:rsidTr="00162B7F">
        <w:tblPrEx>
          <w:tblW w:w="0" w:type="auto"/>
          <w:tblInd w:w="279" w:type="dxa"/>
          <w:tblLook w:val="04A0"/>
        </w:tblPrEx>
        <w:tc>
          <w:tcPr>
            <w:tcW w:w="3827" w:type="dxa"/>
          </w:tcPr>
          <w:p w:rsidR="00162B7F" w:rsidP="00162B7F">
            <w:pPr>
              <w:jc w:val="both"/>
              <w:rPr>
                <w:rFonts w:cstheme="minorHAnsi"/>
                <w:bCs/>
              </w:rPr>
            </w:pPr>
            <w:r>
              <w:rPr>
                <w:rFonts w:cstheme="minorHAnsi"/>
                <w:bCs/>
              </w:rPr>
              <w:t>Interest and Investment Income</w:t>
            </w:r>
          </w:p>
        </w:tc>
        <w:tc>
          <w:tcPr>
            <w:tcW w:w="2455" w:type="dxa"/>
          </w:tcPr>
          <w:p w:rsidR="00162B7F" w:rsidRPr="00664A48" w:rsidP="00162B7F">
            <w:pPr>
              <w:jc w:val="center"/>
              <w:rPr>
                <w:rFonts w:cstheme="minorHAnsi"/>
                <w:bCs/>
              </w:rPr>
            </w:pPr>
            <w:r w:rsidRPr="00664A48">
              <w:rPr>
                <w:rFonts w:cstheme="minorHAnsi"/>
                <w:bCs/>
              </w:rPr>
              <w:t>(</w:t>
            </w:r>
            <w:r>
              <w:rPr>
                <w:rFonts w:cstheme="minorHAnsi"/>
                <w:bCs/>
              </w:rPr>
              <w:t>50</w:t>
            </w:r>
            <w:r w:rsidRPr="00664A48">
              <w:rPr>
                <w:rFonts w:cstheme="minorHAnsi"/>
                <w:bCs/>
              </w:rPr>
              <w:t>)</w:t>
            </w:r>
          </w:p>
        </w:tc>
        <w:tc>
          <w:tcPr>
            <w:tcW w:w="2455" w:type="dxa"/>
          </w:tcPr>
          <w:p w:rsidR="00162B7F" w:rsidRPr="00664A48" w:rsidP="00162B7F">
            <w:pPr>
              <w:jc w:val="center"/>
              <w:rPr>
                <w:rFonts w:cstheme="minorHAnsi"/>
                <w:bCs/>
              </w:rPr>
            </w:pPr>
            <w:r w:rsidRPr="00664A48">
              <w:rPr>
                <w:rFonts w:cstheme="minorHAnsi"/>
                <w:bCs/>
              </w:rPr>
              <w:t>(5</w:t>
            </w:r>
            <w:r>
              <w:rPr>
                <w:rFonts w:cstheme="minorHAnsi"/>
                <w:bCs/>
              </w:rPr>
              <w:t>5</w:t>
            </w:r>
            <w:r w:rsidRPr="00664A48">
              <w:rPr>
                <w:rFonts w:cstheme="minorHAnsi"/>
                <w:bCs/>
              </w:rPr>
              <w:t>)</w:t>
            </w:r>
          </w:p>
        </w:tc>
      </w:tr>
      <w:tr w:rsidTr="00162B7F">
        <w:tblPrEx>
          <w:tblW w:w="0" w:type="auto"/>
          <w:tblInd w:w="279" w:type="dxa"/>
          <w:tblLook w:val="04A0"/>
        </w:tblPrEx>
        <w:tc>
          <w:tcPr>
            <w:tcW w:w="3827" w:type="dxa"/>
          </w:tcPr>
          <w:p w:rsidR="00162B7F" w:rsidP="00162B7F">
            <w:pPr>
              <w:jc w:val="both"/>
              <w:rPr>
                <w:rFonts w:cstheme="minorHAnsi"/>
                <w:bCs/>
              </w:rPr>
            </w:pPr>
            <w:r>
              <w:rPr>
                <w:rFonts w:cstheme="minorHAnsi"/>
                <w:bCs/>
              </w:rPr>
              <w:t>Debt Interest Payable</w:t>
            </w:r>
          </w:p>
        </w:tc>
        <w:tc>
          <w:tcPr>
            <w:tcW w:w="2455" w:type="dxa"/>
          </w:tcPr>
          <w:p w:rsidR="00162B7F" w:rsidP="00162B7F">
            <w:pPr>
              <w:jc w:val="center"/>
              <w:rPr>
                <w:rFonts w:cstheme="minorHAnsi"/>
                <w:bCs/>
              </w:rPr>
            </w:pPr>
            <w:r>
              <w:rPr>
                <w:rFonts w:cstheme="minorHAnsi"/>
                <w:bCs/>
              </w:rPr>
              <w:t>0</w:t>
            </w:r>
          </w:p>
        </w:tc>
        <w:tc>
          <w:tcPr>
            <w:tcW w:w="2455" w:type="dxa"/>
          </w:tcPr>
          <w:p w:rsidR="00162B7F" w:rsidP="00162B7F">
            <w:pPr>
              <w:jc w:val="center"/>
              <w:rPr>
                <w:rFonts w:cstheme="minorHAnsi"/>
                <w:bCs/>
              </w:rPr>
            </w:pPr>
            <w:r>
              <w:rPr>
                <w:rFonts w:cstheme="minorHAnsi"/>
                <w:bCs/>
              </w:rPr>
              <w:t>0</w:t>
            </w:r>
          </w:p>
        </w:tc>
      </w:tr>
      <w:tr w:rsidTr="00162B7F">
        <w:tblPrEx>
          <w:tblW w:w="0" w:type="auto"/>
          <w:tblInd w:w="279" w:type="dxa"/>
          <w:tblLook w:val="04A0"/>
        </w:tblPrEx>
        <w:tc>
          <w:tcPr>
            <w:tcW w:w="3827" w:type="dxa"/>
          </w:tcPr>
          <w:p w:rsidR="00162B7F" w:rsidP="00162B7F">
            <w:pPr>
              <w:jc w:val="both"/>
              <w:rPr>
                <w:rFonts w:cstheme="minorHAnsi"/>
                <w:bCs/>
              </w:rPr>
            </w:pPr>
            <w:r>
              <w:rPr>
                <w:rFonts w:cstheme="minorHAnsi"/>
                <w:bCs/>
              </w:rPr>
              <w:t>Minimum Revenue Provision (MRP)</w:t>
            </w:r>
          </w:p>
        </w:tc>
        <w:tc>
          <w:tcPr>
            <w:tcW w:w="2455" w:type="dxa"/>
          </w:tcPr>
          <w:p w:rsidR="00162B7F" w:rsidP="00162B7F">
            <w:pPr>
              <w:jc w:val="center"/>
              <w:rPr>
                <w:rFonts w:cstheme="minorHAnsi"/>
                <w:bCs/>
              </w:rPr>
            </w:pPr>
            <w:r>
              <w:rPr>
                <w:rFonts w:cstheme="minorHAnsi"/>
                <w:bCs/>
              </w:rPr>
              <w:t>298</w:t>
            </w:r>
          </w:p>
        </w:tc>
        <w:tc>
          <w:tcPr>
            <w:tcW w:w="2455" w:type="dxa"/>
          </w:tcPr>
          <w:p w:rsidR="00162B7F" w:rsidP="00162B7F">
            <w:pPr>
              <w:jc w:val="center"/>
              <w:rPr>
                <w:rFonts w:cstheme="minorHAnsi"/>
                <w:bCs/>
              </w:rPr>
            </w:pPr>
            <w:r>
              <w:rPr>
                <w:rFonts w:cstheme="minorHAnsi"/>
                <w:bCs/>
              </w:rPr>
              <w:t>298</w:t>
            </w:r>
          </w:p>
        </w:tc>
      </w:tr>
      <w:tr w:rsidTr="00162B7F">
        <w:tblPrEx>
          <w:tblW w:w="0" w:type="auto"/>
          <w:tblInd w:w="279" w:type="dxa"/>
          <w:tblLook w:val="04A0"/>
        </w:tblPrEx>
        <w:tc>
          <w:tcPr>
            <w:tcW w:w="3827" w:type="dxa"/>
            <w:shd w:val="clear" w:color="auto" w:fill="D9D9D9" w:themeFill="background1" w:themeFillShade="D9"/>
          </w:tcPr>
          <w:p w:rsidR="00162B7F" w:rsidRPr="00E477A9" w:rsidP="00162B7F">
            <w:pPr>
              <w:jc w:val="both"/>
              <w:rPr>
                <w:rFonts w:cstheme="minorHAnsi"/>
                <w:b/>
              </w:rPr>
            </w:pPr>
            <w:r w:rsidRPr="00E477A9">
              <w:rPr>
                <w:rFonts w:cstheme="minorHAnsi"/>
                <w:b/>
              </w:rPr>
              <w:t>TOTAL</w:t>
            </w:r>
          </w:p>
        </w:tc>
        <w:tc>
          <w:tcPr>
            <w:tcW w:w="2455" w:type="dxa"/>
            <w:shd w:val="clear" w:color="auto" w:fill="D9D9D9" w:themeFill="background1" w:themeFillShade="D9"/>
          </w:tcPr>
          <w:p w:rsidR="00162B7F" w:rsidRPr="00E477A9" w:rsidP="00162B7F">
            <w:pPr>
              <w:jc w:val="center"/>
              <w:rPr>
                <w:rFonts w:cstheme="minorHAnsi"/>
                <w:b/>
              </w:rPr>
            </w:pPr>
            <w:r>
              <w:rPr>
                <w:rFonts w:cstheme="minorHAnsi"/>
                <w:b/>
              </w:rPr>
              <w:t>248</w:t>
            </w:r>
          </w:p>
        </w:tc>
        <w:tc>
          <w:tcPr>
            <w:tcW w:w="2455" w:type="dxa"/>
            <w:shd w:val="clear" w:color="auto" w:fill="D9D9D9" w:themeFill="background1" w:themeFillShade="D9"/>
          </w:tcPr>
          <w:p w:rsidR="00162B7F" w:rsidRPr="00E477A9" w:rsidP="00162B7F">
            <w:pPr>
              <w:jc w:val="center"/>
              <w:rPr>
                <w:rFonts w:cstheme="minorHAnsi"/>
                <w:b/>
              </w:rPr>
            </w:pPr>
            <w:r w:rsidRPr="00DB23C2">
              <w:rPr>
                <w:rFonts w:cstheme="minorHAnsi"/>
                <w:b/>
              </w:rPr>
              <w:t>24</w:t>
            </w:r>
            <w:r>
              <w:rPr>
                <w:rFonts w:cstheme="minorHAnsi"/>
                <w:b/>
              </w:rPr>
              <w:t>3</w:t>
            </w:r>
          </w:p>
        </w:tc>
      </w:tr>
    </w:tbl>
    <w:p w:rsidR="00162B7F" w:rsidP="00162B7F">
      <w:pPr>
        <w:ind w:left="360"/>
        <w:jc w:val="both"/>
        <w:rPr>
          <w:rFonts w:cstheme="minorHAnsi"/>
          <w:bCs/>
          <w:iCs/>
        </w:rPr>
      </w:pPr>
    </w:p>
    <w:p w:rsidR="00162B7F" w:rsidP="00162B7F">
      <w:pPr>
        <w:ind w:left="360"/>
        <w:jc w:val="both"/>
        <w:rPr>
          <w:rFonts w:cstheme="minorHAnsi"/>
          <w:bCs/>
          <w:iCs/>
        </w:rPr>
      </w:pPr>
    </w:p>
    <w:p w:rsidR="00162B7F" w:rsidP="00162B7F">
      <w:pPr>
        <w:numPr>
          <w:ilvl w:val="0"/>
          <w:numId w:val="8"/>
        </w:numPr>
        <w:jc w:val="both"/>
        <w:rPr>
          <w:rFonts w:cstheme="minorHAnsi"/>
          <w:bCs/>
          <w:iCs/>
        </w:rPr>
      </w:pPr>
      <w:r w:rsidRPr="00C01DB3">
        <w:rPr>
          <w:rFonts w:cstheme="minorHAnsi"/>
          <w:bCs/>
        </w:rPr>
        <w:t xml:space="preserve">The current borrowing and investment position is as </w:t>
      </w:r>
      <w:r w:rsidRPr="00C01DB3">
        <w:rPr>
          <w:rFonts w:cstheme="minorHAnsi"/>
          <w:bCs/>
        </w:rPr>
        <w:t>follows;</w:t>
      </w:r>
    </w:p>
    <w:p w:rsidR="00162B7F" w:rsidP="00162B7F">
      <w:pPr>
        <w:jc w:val="both"/>
        <w:rPr>
          <w:rFonts w:cstheme="minorHAnsi"/>
          <w:bCs/>
          <w:iCs/>
        </w:rPr>
      </w:pPr>
    </w:p>
    <w:tbl>
      <w:tblPr>
        <w:tblStyle w:val="TableGrid"/>
        <w:tblW w:w="0" w:type="auto"/>
        <w:tblInd w:w="279" w:type="dxa"/>
        <w:tblLook w:val="04A0"/>
      </w:tblPr>
      <w:tblGrid>
        <w:gridCol w:w="3827"/>
        <w:gridCol w:w="2552"/>
        <w:gridCol w:w="2358"/>
      </w:tblGrid>
      <w:tr w:rsidTr="00162B7F">
        <w:tblPrEx>
          <w:tblW w:w="0" w:type="auto"/>
          <w:tblInd w:w="279" w:type="dxa"/>
          <w:tblLook w:val="04A0"/>
        </w:tblPrEx>
        <w:tc>
          <w:tcPr>
            <w:tcW w:w="3827" w:type="dxa"/>
            <w:shd w:val="clear" w:color="auto" w:fill="D9D9D9" w:themeFill="background1" w:themeFillShade="D9"/>
          </w:tcPr>
          <w:p w:rsidR="00162B7F" w:rsidRPr="00E477A9" w:rsidP="00162B7F">
            <w:pPr>
              <w:jc w:val="both"/>
              <w:rPr>
                <w:rFonts w:cstheme="minorHAnsi"/>
                <w:b/>
              </w:rPr>
            </w:pPr>
          </w:p>
        </w:tc>
        <w:tc>
          <w:tcPr>
            <w:tcW w:w="2552" w:type="dxa"/>
            <w:shd w:val="clear" w:color="auto" w:fill="D9D9D9" w:themeFill="background1" w:themeFillShade="D9"/>
          </w:tcPr>
          <w:p w:rsidR="00162B7F" w:rsidP="00162B7F">
            <w:pPr>
              <w:jc w:val="center"/>
              <w:rPr>
                <w:rFonts w:cstheme="minorHAnsi"/>
                <w:b/>
              </w:rPr>
            </w:pPr>
            <w:r w:rsidRPr="00E477A9">
              <w:rPr>
                <w:rFonts w:cstheme="minorHAnsi"/>
                <w:b/>
              </w:rPr>
              <w:t xml:space="preserve">As at </w:t>
            </w:r>
            <w:r>
              <w:rPr>
                <w:rFonts w:cstheme="minorHAnsi"/>
                <w:b/>
              </w:rPr>
              <w:t>31st January 2022</w:t>
            </w:r>
          </w:p>
          <w:p w:rsidR="00162B7F" w:rsidRPr="00E477A9" w:rsidP="00162B7F">
            <w:pPr>
              <w:jc w:val="center"/>
              <w:rPr>
                <w:rFonts w:cstheme="minorHAnsi"/>
                <w:b/>
              </w:rPr>
            </w:pPr>
            <w:r>
              <w:rPr>
                <w:rFonts w:cstheme="minorHAnsi"/>
                <w:b/>
              </w:rPr>
              <w:t>£’000</w:t>
            </w:r>
          </w:p>
        </w:tc>
        <w:tc>
          <w:tcPr>
            <w:tcW w:w="2358" w:type="dxa"/>
            <w:shd w:val="clear" w:color="auto" w:fill="D9D9D9" w:themeFill="background1" w:themeFillShade="D9"/>
          </w:tcPr>
          <w:p w:rsidR="00162B7F" w:rsidP="00162B7F">
            <w:pPr>
              <w:jc w:val="center"/>
              <w:rPr>
                <w:rFonts w:cstheme="minorHAnsi"/>
                <w:b/>
              </w:rPr>
            </w:pPr>
            <w:r w:rsidRPr="00E477A9">
              <w:rPr>
                <w:rFonts w:cstheme="minorHAnsi"/>
                <w:b/>
              </w:rPr>
              <w:t>As at 3</w:t>
            </w:r>
            <w:r>
              <w:rPr>
                <w:rFonts w:cstheme="minorHAnsi"/>
                <w:b/>
              </w:rPr>
              <w:t>1st</w:t>
            </w:r>
            <w:r w:rsidRPr="00E477A9">
              <w:rPr>
                <w:rFonts w:cstheme="minorHAnsi"/>
                <w:b/>
              </w:rPr>
              <w:t xml:space="preserve"> </w:t>
            </w:r>
            <w:r>
              <w:rPr>
                <w:rFonts w:cstheme="minorHAnsi"/>
                <w:b/>
              </w:rPr>
              <w:t>January</w:t>
            </w:r>
            <w:r w:rsidRPr="00E477A9">
              <w:rPr>
                <w:rFonts w:cstheme="minorHAnsi"/>
                <w:b/>
              </w:rPr>
              <w:t xml:space="preserve"> 202</w:t>
            </w:r>
            <w:r>
              <w:rPr>
                <w:rFonts w:cstheme="minorHAnsi"/>
                <w:b/>
              </w:rPr>
              <w:t>1</w:t>
            </w:r>
          </w:p>
          <w:p w:rsidR="00162B7F" w:rsidRPr="00E477A9" w:rsidP="00162B7F">
            <w:pPr>
              <w:jc w:val="center"/>
              <w:rPr>
                <w:rFonts w:cstheme="minorHAnsi"/>
                <w:b/>
              </w:rPr>
            </w:pPr>
            <w:r>
              <w:rPr>
                <w:rFonts w:cstheme="minorHAnsi"/>
                <w:b/>
              </w:rPr>
              <w:t>£’000</w:t>
            </w:r>
          </w:p>
        </w:tc>
      </w:tr>
      <w:tr w:rsidTr="00162B7F">
        <w:tblPrEx>
          <w:tblW w:w="0" w:type="auto"/>
          <w:tblInd w:w="279" w:type="dxa"/>
          <w:tblLook w:val="04A0"/>
        </w:tblPrEx>
        <w:tc>
          <w:tcPr>
            <w:tcW w:w="3827" w:type="dxa"/>
          </w:tcPr>
          <w:p w:rsidR="00162B7F" w:rsidP="00162B7F">
            <w:pPr>
              <w:jc w:val="both"/>
              <w:rPr>
                <w:rFonts w:cstheme="minorHAnsi"/>
                <w:bCs/>
              </w:rPr>
            </w:pPr>
            <w:r>
              <w:rPr>
                <w:rFonts w:cstheme="minorHAnsi"/>
                <w:bCs/>
              </w:rPr>
              <w:t>Short term borrowing</w:t>
            </w:r>
          </w:p>
        </w:tc>
        <w:tc>
          <w:tcPr>
            <w:tcW w:w="2552" w:type="dxa"/>
          </w:tcPr>
          <w:p w:rsidR="00162B7F" w:rsidP="00162B7F">
            <w:pPr>
              <w:jc w:val="center"/>
              <w:rPr>
                <w:rFonts w:cstheme="minorHAnsi"/>
                <w:bCs/>
              </w:rPr>
            </w:pPr>
            <w:r>
              <w:rPr>
                <w:rFonts w:cstheme="minorHAnsi"/>
                <w:bCs/>
              </w:rPr>
              <w:t>Nil</w:t>
            </w:r>
          </w:p>
        </w:tc>
        <w:tc>
          <w:tcPr>
            <w:tcW w:w="2358" w:type="dxa"/>
          </w:tcPr>
          <w:p w:rsidR="00162B7F" w:rsidP="00162B7F">
            <w:pPr>
              <w:jc w:val="center"/>
              <w:rPr>
                <w:rFonts w:cstheme="minorHAnsi"/>
                <w:bCs/>
              </w:rPr>
            </w:pPr>
            <w:r>
              <w:rPr>
                <w:rFonts w:cstheme="minorHAnsi"/>
                <w:bCs/>
              </w:rPr>
              <w:t>Nil</w:t>
            </w:r>
          </w:p>
        </w:tc>
      </w:tr>
      <w:tr w:rsidTr="00162B7F">
        <w:tblPrEx>
          <w:tblW w:w="0" w:type="auto"/>
          <w:tblInd w:w="279" w:type="dxa"/>
          <w:tblLook w:val="04A0"/>
        </w:tblPrEx>
        <w:tc>
          <w:tcPr>
            <w:tcW w:w="3827" w:type="dxa"/>
          </w:tcPr>
          <w:p w:rsidR="00162B7F" w:rsidP="00162B7F">
            <w:pPr>
              <w:jc w:val="both"/>
              <w:rPr>
                <w:rFonts w:cstheme="minorHAnsi"/>
                <w:bCs/>
              </w:rPr>
            </w:pPr>
            <w:r>
              <w:rPr>
                <w:rFonts w:cstheme="minorHAnsi"/>
                <w:bCs/>
              </w:rPr>
              <w:t>Long term borrowing</w:t>
            </w:r>
          </w:p>
        </w:tc>
        <w:tc>
          <w:tcPr>
            <w:tcW w:w="2552" w:type="dxa"/>
          </w:tcPr>
          <w:p w:rsidR="00162B7F" w:rsidP="00162B7F">
            <w:pPr>
              <w:jc w:val="center"/>
              <w:rPr>
                <w:rFonts w:cstheme="minorHAnsi"/>
                <w:bCs/>
              </w:rPr>
            </w:pPr>
            <w:r>
              <w:rPr>
                <w:rFonts w:cstheme="minorHAnsi"/>
                <w:bCs/>
              </w:rPr>
              <w:t>Nil</w:t>
            </w:r>
          </w:p>
        </w:tc>
        <w:tc>
          <w:tcPr>
            <w:tcW w:w="2358" w:type="dxa"/>
          </w:tcPr>
          <w:p w:rsidR="00162B7F" w:rsidP="00162B7F">
            <w:pPr>
              <w:jc w:val="center"/>
              <w:rPr>
                <w:rFonts w:cstheme="minorHAnsi"/>
                <w:bCs/>
              </w:rPr>
            </w:pPr>
            <w:r>
              <w:rPr>
                <w:rFonts w:cstheme="minorHAnsi"/>
                <w:bCs/>
              </w:rPr>
              <w:t>Nil</w:t>
            </w:r>
          </w:p>
        </w:tc>
      </w:tr>
      <w:tr w:rsidTr="00162B7F">
        <w:tblPrEx>
          <w:tblW w:w="0" w:type="auto"/>
          <w:tblInd w:w="279" w:type="dxa"/>
          <w:tblLook w:val="04A0"/>
        </w:tblPrEx>
        <w:tc>
          <w:tcPr>
            <w:tcW w:w="3827" w:type="dxa"/>
            <w:shd w:val="clear" w:color="auto" w:fill="D9D9D9" w:themeFill="background1" w:themeFillShade="D9"/>
          </w:tcPr>
          <w:p w:rsidR="00162B7F" w:rsidRPr="00E477A9" w:rsidP="00162B7F">
            <w:pPr>
              <w:jc w:val="both"/>
              <w:rPr>
                <w:rFonts w:cstheme="minorHAnsi"/>
                <w:b/>
              </w:rPr>
            </w:pPr>
            <w:r w:rsidRPr="00E477A9">
              <w:rPr>
                <w:rFonts w:cstheme="minorHAnsi"/>
                <w:b/>
              </w:rPr>
              <w:t>T</w:t>
            </w:r>
            <w:r>
              <w:rPr>
                <w:rFonts w:cstheme="minorHAnsi"/>
                <w:b/>
              </w:rPr>
              <w:t>otal</w:t>
            </w:r>
            <w:r w:rsidRPr="00E477A9">
              <w:rPr>
                <w:rFonts w:cstheme="minorHAnsi"/>
                <w:b/>
              </w:rPr>
              <w:t xml:space="preserve"> Borrowing</w:t>
            </w:r>
          </w:p>
        </w:tc>
        <w:tc>
          <w:tcPr>
            <w:tcW w:w="2552" w:type="dxa"/>
            <w:shd w:val="clear" w:color="auto" w:fill="D9D9D9" w:themeFill="background1" w:themeFillShade="D9"/>
          </w:tcPr>
          <w:p w:rsidR="00162B7F" w:rsidRPr="00E477A9" w:rsidP="00162B7F">
            <w:pPr>
              <w:jc w:val="center"/>
              <w:rPr>
                <w:rFonts w:cstheme="minorHAnsi"/>
                <w:b/>
              </w:rPr>
            </w:pPr>
            <w:r>
              <w:rPr>
                <w:rFonts w:cstheme="minorHAnsi"/>
                <w:b/>
              </w:rPr>
              <w:t>Nil</w:t>
            </w:r>
          </w:p>
        </w:tc>
        <w:tc>
          <w:tcPr>
            <w:tcW w:w="2358" w:type="dxa"/>
            <w:shd w:val="clear" w:color="auto" w:fill="D9D9D9" w:themeFill="background1" w:themeFillShade="D9"/>
          </w:tcPr>
          <w:p w:rsidR="00162B7F" w:rsidRPr="00E477A9" w:rsidP="00162B7F">
            <w:pPr>
              <w:jc w:val="center"/>
              <w:rPr>
                <w:rFonts w:cstheme="minorHAnsi"/>
                <w:b/>
              </w:rPr>
            </w:pPr>
            <w:r>
              <w:rPr>
                <w:rFonts w:cstheme="minorHAnsi"/>
                <w:b/>
              </w:rPr>
              <w:t>Nil</w:t>
            </w:r>
          </w:p>
        </w:tc>
      </w:tr>
      <w:tr w:rsidTr="00162B7F">
        <w:tblPrEx>
          <w:tblW w:w="0" w:type="auto"/>
          <w:tblInd w:w="279" w:type="dxa"/>
          <w:tblLook w:val="04A0"/>
        </w:tblPrEx>
        <w:tc>
          <w:tcPr>
            <w:tcW w:w="3827" w:type="dxa"/>
          </w:tcPr>
          <w:p w:rsidR="00806F7E" w:rsidRPr="00806F7E" w:rsidP="00806F7E">
            <w:pPr>
              <w:jc w:val="both"/>
              <w:rPr>
                <w:rFonts w:cstheme="minorHAnsi"/>
                <w:bCs/>
              </w:rPr>
            </w:pPr>
            <w:r w:rsidRPr="00806F7E">
              <w:rPr>
                <w:rFonts w:cstheme="minorHAnsi"/>
                <w:bCs/>
              </w:rPr>
              <w:t>Investments made by the Council</w:t>
            </w:r>
          </w:p>
        </w:tc>
        <w:tc>
          <w:tcPr>
            <w:tcW w:w="2552" w:type="dxa"/>
          </w:tcPr>
          <w:p w:rsidR="00806F7E" w:rsidRPr="00806F7E" w:rsidP="00806F7E">
            <w:pPr>
              <w:jc w:val="center"/>
              <w:rPr>
                <w:rFonts w:cstheme="minorHAnsi"/>
                <w:bCs/>
              </w:rPr>
            </w:pPr>
            <w:r w:rsidRPr="00806F7E">
              <w:t>49,000</w:t>
            </w:r>
          </w:p>
        </w:tc>
        <w:tc>
          <w:tcPr>
            <w:tcW w:w="2358" w:type="dxa"/>
          </w:tcPr>
          <w:p w:rsidR="00806F7E" w:rsidRPr="00806F7E" w:rsidP="00806F7E">
            <w:pPr>
              <w:jc w:val="center"/>
              <w:rPr>
                <w:rFonts w:cstheme="minorHAnsi"/>
                <w:bCs/>
              </w:rPr>
            </w:pPr>
            <w:r w:rsidRPr="00806F7E">
              <w:t>42,000</w:t>
            </w:r>
          </w:p>
        </w:tc>
      </w:tr>
      <w:tr w:rsidTr="00162B7F">
        <w:tblPrEx>
          <w:tblW w:w="0" w:type="auto"/>
          <w:tblInd w:w="279" w:type="dxa"/>
          <w:tblLook w:val="04A0"/>
        </w:tblPrEx>
        <w:tc>
          <w:tcPr>
            <w:tcW w:w="3827" w:type="dxa"/>
          </w:tcPr>
          <w:p w:rsidR="00806F7E" w:rsidRPr="00806F7E" w:rsidP="00806F7E">
            <w:pPr>
              <w:jc w:val="both"/>
              <w:rPr>
                <w:rFonts w:cstheme="minorHAnsi"/>
                <w:bCs/>
              </w:rPr>
            </w:pPr>
            <w:r w:rsidRPr="00806F7E">
              <w:rPr>
                <w:rFonts w:cstheme="minorHAnsi"/>
                <w:bCs/>
              </w:rPr>
              <w:t>Cash Balance</w:t>
            </w:r>
          </w:p>
        </w:tc>
        <w:tc>
          <w:tcPr>
            <w:tcW w:w="2552" w:type="dxa"/>
          </w:tcPr>
          <w:p w:rsidR="00806F7E" w:rsidRPr="00806F7E" w:rsidP="00806F7E">
            <w:pPr>
              <w:jc w:val="center"/>
              <w:rPr>
                <w:rFonts w:cstheme="minorHAnsi"/>
                <w:bCs/>
              </w:rPr>
            </w:pPr>
            <w:r w:rsidRPr="00806F7E">
              <w:t>18,656</w:t>
            </w:r>
          </w:p>
        </w:tc>
        <w:tc>
          <w:tcPr>
            <w:tcW w:w="2358" w:type="dxa"/>
          </w:tcPr>
          <w:p w:rsidR="00806F7E" w:rsidP="00806F7E">
            <w:pPr>
              <w:jc w:val="center"/>
              <w:rPr>
                <w:rFonts w:cstheme="minorHAnsi"/>
                <w:bCs/>
              </w:rPr>
            </w:pPr>
            <w:r w:rsidRPr="00806F7E">
              <w:t>19,424</w:t>
            </w:r>
          </w:p>
        </w:tc>
      </w:tr>
    </w:tbl>
    <w:p w:rsidR="00162B7F" w:rsidP="00162B7F">
      <w:pPr>
        <w:jc w:val="both"/>
        <w:rPr>
          <w:rFonts w:cstheme="minorHAnsi"/>
          <w:bCs/>
          <w:iCs/>
        </w:rPr>
      </w:pPr>
    </w:p>
    <w:p w:rsidR="00162B7F" w:rsidRPr="00D30E15" w:rsidP="00162B7F">
      <w:pPr>
        <w:pStyle w:val="Heading2"/>
      </w:pPr>
      <w:r>
        <w:t>Debtors</w:t>
      </w:r>
    </w:p>
    <w:p w:rsidR="00162B7F" w:rsidRPr="00684375" w:rsidP="00162B7F">
      <w:pPr>
        <w:numPr>
          <w:ilvl w:val="0"/>
          <w:numId w:val="8"/>
        </w:numPr>
        <w:jc w:val="both"/>
        <w:rPr>
          <w:rFonts w:cstheme="minorHAnsi"/>
          <w:bCs/>
          <w:iCs/>
        </w:rPr>
      </w:pPr>
      <w:r w:rsidRPr="003979B1">
        <w:rPr>
          <w:rFonts w:cstheme="minorHAnsi"/>
          <w:bCs/>
        </w:rPr>
        <w:t>The council has a corporate debt policy, as well as other specific policies for the management of debt in the key areas of council tax, business rates, and housing benefit overpayments. The table below summarises the collection performance of the various d</w:t>
      </w:r>
      <w:r w:rsidRPr="003979B1">
        <w:rPr>
          <w:rFonts w:cstheme="minorHAnsi"/>
          <w:bCs/>
        </w:rPr>
        <w:t xml:space="preserve">ebts, and the total outstanding debt in the respective areas at </w:t>
      </w:r>
      <w:r>
        <w:rPr>
          <w:rFonts w:cstheme="minorHAnsi"/>
          <w:bCs/>
        </w:rPr>
        <w:t>31st December 2021</w:t>
      </w:r>
      <w:r w:rsidRPr="003979B1">
        <w:rPr>
          <w:rFonts w:cstheme="minorHAnsi"/>
          <w:bCs/>
        </w:rPr>
        <w:t>.  The figures for the same point in time in the last financial year are not available and so for the purposes of comparison, the corresponding level of debt at 31</w:t>
      </w:r>
      <w:r w:rsidRPr="003979B1">
        <w:rPr>
          <w:rFonts w:cstheme="minorHAnsi"/>
          <w:bCs/>
          <w:vertAlign w:val="superscript"/>
        </w:rPr>
        <w:t>st</w:t>
      </w:r>
      <w:r w:rsidRPr="003979B1">
        <w:rPr>
          <w:rFonts w:cstheme="minorHAnsi"/>
          <w:bCs/>
        </w:rPr>
        <w:t xml:space="preserve"> March 20</w:t>
      </w:r>
      <w:r w:rsidRPr="003979B1">
        <w:rPr>
          <w:rFonts w:cstheme="minorHAnsi"/>
          <w:bCs/>
        </w:rPr>
        <w:t>21 is shown</w:t>
      </w:r>
      <w:r>
        <w:rPr>
          <w:rFonts w:cstheme="minorHAnsi"/>
          <w:bCs/>
        </w:rPr>
        <w:t>.</w:t>
      </w:r>
    </w:p>
    <w:p w:rsidR="00684375" w:rsidP="00684375">
      <w:pPr>
        <w:ind w:left="360"/>
        <w:jc w:val="both"/>
        <w:rPr>
          <w:rFonts w:cstheme="minorHAnsi"/>
          <w:bCs/>
          <w:iCs/>
        </w:rPr>
      </w:pPr>
    </w:p>
    <w:p w:rsidR="00684375">
      <w:pPr>
        <w:rPr>
          <w:rFonts w:cstheme="minorHAnsi"/>
          <w:bCs/>
          <w:iCs/>
        </w:rPr>
      </w:pPr>
    </w:p>
    <w:tbl>
      <w:tblPr>
        <w:tblStyle w:val="TableGrid"/>
        <w:tblW w:w="9634" w:type="dxa"/>
        <w:tblLook w:val="04A0"/>
      </w:tblPr>
      <w:tblGrid>
        <w:gridCol w:w="4673"/>
        <w:gridCol w:w="2480"/>
        <w:gridCol w:w="2481"/>
      </w:tblGrid>
      <w:tr w:rsidTr="007E29BF">
        <w:tblPrEx>
          <w:tblW w:w="9634" w:type="dxa"/>
          <w:tblLook w:val="04A0"/>
        </w:tblPrEx>
        <w:trPr>
          <w:trHeight w:val="284"/>
          <w:tblHeader/>
        </w:trPr>
        <w:tc>
          <w:tcPr>
            <w:tcW w:w="4673" w:type="dxa"/>
            <w:shd w:val="clear" w:color="auto" w:fill="D9D9D9" w:themeFill="background1" w:themeFillShade="D9"/>
            <w:vAlign w:val="center"/>
          </w:tcPr>
          <w:p w:rsidR="00162B7F" w:rsidRPr="00D56230" w:rsidP="00162B7F">
            <w:pPr>
              <w:jc w:val="both"/>
              <w:rPr>
                <w:rFonts w:cstheme="minorHAnsi"/>
                <w:b/>
              </w:rPr>
            </w:pPr>
            <w:bookmarkStart w:id="4" w:name="_Hlk78974821"/>
          </w:p>
        </w:tc>
        <w:tc>
          <w:tcPr>
            <w:tcW w:w="2480" w:type="dxa"/>
            <w:shd w:val="clear" w:color="auto" w:fill="D9D9D9" w:themeFill="background1" w:themeFillShade="D9"/>
            <w:vAlign w:val="center"/>
          </w:tcPr>
          <w:p w:rsidR="00162B7F" w:rsidP="00162B7F">
            <w:pPr>
              <w:jc w:val="center"/>
              <w:rPr>
                <w:rFonts w:cstheme="minorHAnsi"/>
                <w:b/>
              </w:rPr>
            </w:pPr>
            <w:r w:rsidRPr="00D56230">
              <w:rPr>
                <w:rFonts w:cstheme="minorHAnsi"/>
                <w:b/>
              </w:rPr>
              <w:t>Position as at</w:t>
            </w:r>
          </w:p>
          <w:p w:rsidR="00162B7F" w:rsidP="00162B7F">
            <w:pPr>
              <w:jc w:val="center"/>
              <w:rPr>
                <w:rFonts w:cstheme="minorHAnsi"/>
                <w:b/>
              </w:rPr>
            </w:pPr>
            <w:r>
              <w:rPr>
                <w:rFonts w:cstheme="minorHAnsi"/>
                <w:b/>
              </w:rPr>
              <w:t>31st December</w:t>
            </w:r>
            <w:r w:rsidRPr="00D56230">
              <w:rPr>
                <w:rFonts w:cstheme="minorHAnsi"/>
                <w:b/>
              </w:rPr>
              <w:t xml:space="preserve"> 202</w:t>
            </w:r>
            <w:r>
              <w:rPr>
                <w:rFonts w:cstheme="minorHAnsi"/>
                <w:b/>
              </w:rPr>
              <w:t>1</w:t>
            </w:r>
          </w:p>
          <w:p w:rsidR="00162B7F" w:rsidRPr="00D56230" w:rsidP="00162B7F">
            <w:pPr>
              <w:jc w:val="center"/>
              <w:rPr>
                <w:rFonts w:cstheme="minorHAnsi"/>
                <w:b/>
              </w:rPr>
            </w:pPr>
            <w:r>
              <w:rPr>
                <w:rFonts w:cstheme="minorHAnsi"/>
                <w:b/>
              </w:rPr>
              <w:t>£’000</w:t>
            </w:r>
          </w:p>
        </w:tc>
        <w:tc>
          <w:tcPr>
            <w:tcW w:w="2481" w:type="dxa"/>
            <w:shd w:val="clear" w:color="auto" w:fill="D9D9D9" w:themeFill="background1" w:themeFillShade="D9"/>
            <w:vAlign w:val="center"/>
          </w:tcPr>
          <w:p w:rsidR="00162B7F" w:rsidP="00162B7F">
            <w:pPr>
              <w:jc w:val="center"/>
              <w:rPr>
                <w:rFonts w:cstheme="minorHAnsi"/>
                <w:b/>
              </w:rPr>
            </w:pPr>
            <w:r w:rsidRPr="00D56230">
              <w:rPr>
                <w:rFonts w:cstheme="minorHAnsi"/>
                <w:b/>
              </w:rPr>
              <w:t>Position as at</w:t>
            </w:r>
          </w:p>
          <w:p w:rsidR="00162B7F" w:rsidP="00162B7F">
            <w:pPr>
              <w:jc w:val="center"/>
              <w:rPr>
                <w:rFonts w:cstheme="minorHAnsi"/>
                <w:b/>
              </w:rPr>
            </w:pPr>
            <w:r w:rsidRPr="00430C19">
              <w:rPr>
                <w:rFonts w:cstheme="minorHAnsi"/>
                <w:b/>
              </w:rPr>
              <w:t>31</w:t>
            </w:r>
            <w:r w:rsidRPr="00430C19">
              <w:rPr>
                <w:rFonts w:cstheme="minorHAnsi"/>
                <w:b/>
                <w:vertAlign w:val="superscript"/>
              </w:rPr>
              <w:t>st</w:t>
            </w:r>
            <w:r w:rsidRPr="00430C19">
              <w:rPr>
                <w:rFonts w:cstheme="minorHAnsi"/>
                <w:b/>
              </w:rPr>
              <w:t xml:space="preserve"> March 2021</w:t>
            </w:r>
          </w:p>
          <w:p w:rsidR="00162B7F" w:rsidRPr="00D56230" w:rsidP="00162B7F">
            <w:pPr>
              <w:jc w:val="center"/>
              <w:rPr>
                <w:rFonts w:cstheme="minorHAnsi"/>
                <w:b/>
              </w:rPr>
            </w:pPr>
            <w:r>
              <w:rPr>
                <w:rFonts w:cstheme="minorHAnsi"/>
                <w:b/>
              </w:rPr>
              <w:t>£’000</w:t>
            </w:r>
          </w:p>
        </w:tc>
      </w:tr>
      <w:tr w:rsidTr="007E29BF">
        <w:tblPrEx>
          <w:tblW w:w="9634" w:type="dxa"/>
          <w:tblLook w:val="04A0"/>
        </w:tblPrEx>
        <w:trPr>
          <w:trHeight w:val="284"/>
        </w:trPr>
        <w:tc>
          <w:tcPr>
            <w:tcW w:w="4673" w:type="dxa"/>
            <w:shd w:val="clear" w:color="auto" w:fill="D9D9D9" w:themeFill="background1" w:themeFillShade="D9"/>
            <w:vAlign w:val="center"/>
          </w:tcPr>
          <w:p w:rsidR="00162B7F" w:rsidRPr="00E477A9" w:rsidP="00162B7F">
            <w:pPr>
              <w:jc w:val="both"/>
              <w:rPr>
                <w:rFonts w:cstheme="minorHAnsi"/>
                <w:b/>
              </w:rPr>
            </w:pPr>
            <w:bookmarkEnd w:id="4"/>
            <w:r w:rsidRPr="00E477A9">
              <w:rPr>
                <w:rFonts w:cstheme="minorHAnsi"/>
                <w:b/>
              </w:rPr>
              <w:t>Council Tax</w:t>
            </w:r>
          </w:p>
        </w:tc>
        <w:tc>
          <w:tcPr>
            <w:tcW w:w="2480" w:type="dxa"/>
            <w:shd w:val="clear" w:color="auto" w:fill="D9D9D9" w:themeFill="background1" w:themeFillShade="D9"/>
            <w:vAlign w:val="center"/>
          </w:tcPr>
          <w:p w:rsidR="00162B7F" w:rsidRPr="00E477A9" w:rsidP="00162B7F">
            <w:pPr>
              <w:jc w:val="center"/>
              <w:rPr>
                <w:rFonts w:cstheme="minorHAnsi"/>
                <w:b/>
              </w:rPr>
            </w:pPr>
          </w:p>
        </w:tc>
        <w:tc>
          <w:tcPr>
            <w:tcW w:w="2481" w:type="dxa"/>
            <w:shd w:val="clear" w:color="auto" w:fill="D9D9D9" w:themeFill="background1" w:themeFillShade="D9"/>
            <w:vAlign w:val="center"/>
          </w:tcPr>
          <w:p w:rsidR="00162B7F" w:rsidRPr="00E477A9" w:rsidP="00162B7F">
            <w:pPr>
              <w:jc w:val="center"/>
              <w:rPr>
                <w:rFonts w:cstheme="minorHAnsi"/>
                <w:b/>
              </w:rPr>
            </w:pPr>
          </w:p>
        </w:tc>
      </w:tr>
      <w:tr w:rsidTr="007E29BF">
        <w:tblPrEx>
          <w:tblW w:w="9634" w:type="dxa"/>
          <w:tblLook w:val="04A0"/>
        </w:tblPrEx>
        <w:trPr>
          <w:trHeight w:val="284"/>
        </w:trPr>
        <w:tc>
          <w:tcPr>
            <w:tcW w:w="4673" w:type="dxa"/>
            <w:vAlign w:val="center"/>
          </w:tcPr>
          <w:p w:rsidR="00162B7F" w:rsidP="00162B7F">
            <w:pPr>
              <w:jc w:val="both"/>
              <w:rPr>
                <w:rFonts w:cstheme="minorHAnsi"/>
                <w:bCs/>
              </w:rPr>
            </w:pPr>
            <w:r>
              <w:rPr>
                <w:rFonts w:cstheme="minorHAnsi"/>
                <w:bCs/>
              </w:rPr>
              <w:t>Expected Council Tax 21/22</w:t>
            </w:r>
          </w:p>
        </w:tc>
        <w:tc>
          <w:tcPr>
            <w:tcW w:w="2480" w:type="dxa"/>
            <w:vAlign w:val="center"/>
          </w:tcPr>
          <w:p w:rsidR="00162B7F" w:rsidP="00162B7F">
            <w:pPr>
              <w:jc w:val="center"/>
              <w:rPr>
                <w:rFonts w:cstheme="minorHAnsi"/>
                <w:bCs/>
              </w:rPr>
            </w:pPr>
            <w:r>
              <w:rPr>
                <w:rFonts w:cstheme="minorHAnsi"/>
                <w:bCs/>
              </w:rPr>
              <w:t>73,958</w:t>
            </w:r>
          </w:p>
        </w:tc>
        <w:tc>
          <w:tcPr>
            <w:tcW w:w="2481" w:type="dxa"/>
            <w:vAlign w:val="center"/>
          </w:tcPr>
          <w:p w:rsidR="00162B7F" w:rsidRPr="00430C19" w:rsidP="00162B7F">
            <w:pPr>
              <w:jc w:val="center"/>
              <w:rPr>
                <w:rFonts w:cstheme="minorHAnsi"/>
                <w:bCs/>
              </w:rPr>
            </w:pPr>
            <w:r>
              <w:rPr>
                <w:rFonts w:cstheme="minorHAnsi"/>
                <w:bCs/>
              </w:rPr>
              <w:t>69,675</w:t>
            </w:r>
          </w:p>
        </w:tc>
      </w:tr>
      <w:tr w:rsidTr="007E29BF">
        <w:tblPrEx>
          <w:tblW w:w="9634" w:type="dxa"/>
          <w:tblLook w:val="04A0"/>
        </w:tblPrEx>
        <w:trPr>
          <w:trHeight w:val="284"/>
        </w:trPr>
        <w:tc>
          <w:tcPr>
            <w:tcW w:w="4673" w:type="dxa"/>
            <w:vAlign w:val="center"/>
          </w:tcPr>
          <w:p w:rsidR="00162B7F" w:rsidP="00162B7F">
            <w:pPr>
              <w:jc w:val="both"/>
              <w:rPr>
                <w:rFonts w:cstheme="minorHAnsi"/>
                <w:bCs/>
              </w:rPr>
            </w:pPr>
            <w:r>
              <w:rPr>
                <w:rFonts w:cstheme="minorHAnsi"/>
                <w:bCs/>
              </w:rPr>
              <w:t>Current year balance outstanding</w:t>
            </w:r>
          </w:p>
        </w:tc>
        <w:tc>
          <w:tcPr>
            <w:tcW w:w="2480" w:type="dxa"/>
            <w:vAlign w:val="center"/>
          </w:tcPr>
          <w:p w:rsidR="00162B7F" w:rsidP="00162B7F">
            <w:pPr>
              <w:jc w:val="center"/>
              <w:rPr>
                <w:rFonts w:cstheme="minorHAnsi"/>
                <w:bCs/>
              </w:rPr>
            </w:pPr>
            <w:r>
              <w:rPr>
                <w:rFonts w:cstheme="minorHAnsi"/>
                <w:bCs/>
              </w:rPr>
              <w:t>8,850</w:t>
            </w:r>
          </w:p>
        </w:tc>
        <w:tc>
          <w:tcPr>
            <w:tcW w:w="2481" w:type="dxa"/>
            <w:vAlign w:val="center"/>
          </w:tcPr>
          <w:p w:rsidR="00162B7F" w:rsidRPr="00430C19" w:rsidP="00162B7F">
            <w:pPr>
              <w:jc w:val="center"/>
              <w:rPr>
                <w:rFonts w:cstheme="minorHAnsi"/>
                <w:bCs/>
              </w:rPr>
            </w:pPr>
            <w:r>
              <w:rPr>
                <w:rFonts w:cstheme="minorHAnsi"/>
                <w:bCs/>
              </w:rPr>
              <w:t>2,149</w:t>
            </w:r>
          </w:p>
        </w:tc>
      </w:tr>
      <w:tr w:rsidTr="007E29BF">
        <w:tblPrEx>
          <w:tblW w:w="9634" w:type="dxa"/>
          <w:tblLook w:val="04A0"/>
        </w:tblPrEx>
        <w:trPr>
          <w:trHeight w:val="284"/>
        </w:trPr>
        <w:tc>
          <w:tcPr>
            <w:tcW w:w="4673" w:type="dxa"/>
            <w:vAlign w:val="center"/>
          </w:tcPr>
          <w:p w:rsidR="00162B7F" w:rsidP="00162B7F">
            <w:pPr>
              <w:jc w:val="both"/>
              <w:rPr>
                <w:rFonts w:cstheme="minorHAnsi"/>
                <w:bCs/>
              </w:rPr>
            </w:pPr>
            <w:r>
              <w:rPr>
                <w:rFonts w:cstheme="minorHAnsi"/>
                <w:bCs/>
              </w:rPr>
              <w:t>Previous years balance outstanding</w:t>
            </w:r>
          </w:p>
        </w:tc>
        <w:tc>
          <w:tcPr>
            <w:tcW w:w="2480" w:type="dxa"/>
            <w:vAlign w:val="center"/>
          </w:tcPr>
          <w:p w:rsidR="00162B7F" w:rsidP="00162B7F">
            <w:pPr>
              <w:jc w:val="center"/>
              <w:rPr>
                <w:rFonts w:cstheme="minorHAnsi"/>
                <w:bCs/>
              </w:rPr>
            </w:pPr>
            <w:r>
              <w:rPr>
                <w:rFonts w:cstheme="minorHAnsi"/>
                <w:bCs/>
              </w:rPr>
              <w:t>4,475</w:t>
            </w:r>
          </w:p>
        </w:tc>
        <w:tc>
          <w:tcPr>
            <w:tcW w:w="2481" w:type="dxa"/>
            <w:vAlign w:val="center"/>
          </w:tcPr>
          <w:p w:rsidR="00162B7F" w:rsidRPr="00430C19" w:rsidP="00162B7F">
            <w:pPr>
              <w:jc w:val="center"/>
              <w:rPr>
                <w:rFonts w:cstheme="minorHAnsi"/>
                <w:bCs/>
              </w:rPr>
            </w:pPr>
            <w:r>
              <w:rPr>
                <w:rFonts w:cstheme="minorHAnsi"/>
                <w:bCs/>
              </w:rPr>
              <w:t>3,266</w:t>
            </w:r>
          </w:p>
        </w:tc>
      </w:tr>
      <w:tr w:rsidTr="007E29BF">
        <w:tblPrEx>
          <w:tblW w:w="9634" w:type="dxa"/>
          <w:tblLook w:val="04A0"/>
        </w:tblPrEx>
        <w:trPr>
          <w:trHeight w:val="284"/>
        </w:trPr>
        <w:tc>
          <w:tcPr>
            <w:tcW w:w="4673" w:type="dxa"/>
            <w:vAlign w:val="center"/>
          </w:tcPr>
          <w:p w:rsidR="00162B7F" w:rsidRPr="00D56230" w:rsidP="00162B7F">
            <w:pPr>
              <w:jc w:val="both"/>
              <w:rPr>
                <w:rFonts w:cstheme="minorHAnsi"/>
                <w:b/>
              </w:rPr>
            </w:pPr>
            <w:r w:rsidRPr="00D56230">
              <w:rPr>
                <w:rFonts w:cstheme="minorHAnsi"/>
                <w:b/>
              </w:rPr>
              <w:t xml:space="preserve">Total </w:t>
            </w:r>
            <w:r w:rsidRPr="00D56230">
              <w:rPr>
                <w:rFonts w:cstheme="minorHAnsi"/>
                <w:b/>
              </w:rPr>
              <w:t>Council Tax balance</w:t>
            </w:r>
            <w:r>
              <w:rPr>
                <w:rFonts w:cstheme="minorHAnsi"/>
                <w:b/>
              </w:rPr>
              <w:t xml:space="preserve"> outstanding</w:t>
            </w:r>
          </w:p>
        </w:tc>
        <w:tc>
          <w:tcPr>
            <w:tcW w:w="2480" w:type="dxa"/>
            <w:vAlign w:val="center"/>
          </w:tcPr>
          <w:p w:rsidR="00162B7F" w:rsidRPr="00D56230" w:rsidP="00162B7F">
            <w:pPr>
              <w:jc w:val="center"/>
              <w:rPr>
                <w:rFonts w:cstheme="minorHAnsi"/>
                <w:b/>
              </w:rPr>
            </w:pPr>
            <w:r>
              <w:rPr>
                <w:rFonts w:cstheme="minorHAnsi"/>
                <w:b/>
              </w:rPr>
              <w:t>13,325</w:t>
            </w:r>
          </w:p>
        </w:tc>
        <w:tc>
          <w:tcPr>
            <w:tcW w:w="2481" w:type="dxa"/>
            <w:vAlign w:val="center"/>
          </w:tcPr>
          <w:p w:rsidR="00162B7F" w:rsidRPr="00430C19" w:rsidP="00162B7F">
            <w:pPr>
              <w:jc w:val="center"/>
              <w:rPr>
                <w:rFonts w:cstheme="minorHAnsi"/>
                <w:b/>
              </w:rPr>
            </w:pPr>
            <w:r>
              <w:rPr>
                <w:rFonts w:cstheme="minorHAnsi"/>
                <w:b/>
              </w:rPr>
              <w:t>5,415</w:t>
            </w:r>
          </w:p>
        </w:tc>
      </w:tr>
      <w:tr w:rsidTr="007E29BF">
        <w:tblPrEx>
          <w:tblW w:w="9634" w:type="dxa"/>
          <w:tblLook w:val="04A0"/>
        </w:tblPrEx>
        <w:trPr>
          <w:trHeight w:val="284"/>
        </w:trPr>
        <w:tc>
          <w:tcPr>
            <w:tcW w:w="4673" w:type="dxa"/>
            <w:vAlign w:val="center"/>
          </w:tcPr>
          <w:p w:rsidR="00162B7F" w:rsidP="00162B7F">
            <w:pPr>
              <w:jc w:val="both"/>
              <w:rPr>
                <w:rFonts w:cstheme="minorHAnsi"/>
                <w:bCs/>
              </w:rPr>
            </w:pPr>
            <w:r>
              <w:rPr>
                <w:rFonts w:cstheme="minorHAnsi"/>
                <w:bCs/>
              </w:rPr>
              <w:t>Collection Rates</w:t>
            </w:r>
          </w:p>
        </w:tc>
        <w:tc>
          <w:tcPr>
            <w:tcW w:w="2480" w:type="dxa"/>
            <w:vAlign w:val="center"/>
          </w:tcPr>
          <w:p w:rsidR="00162B7F" w:rsidP="00162B7F">
            <w:pPr>
              <w:jc w:val="center"/>
              <w:rPr>
                <w:rFonts w:cstheme="minorHAnsi"/>
                <w:bCs/>
              </w:rPr>
            </w:pPr>
            <w:r>
              <w:rPr>
                <w:rFonts w:cstheme="minorHAnsi"/>
                <w:bCs/>
              </w:rPr>
              <w:t>84.40%</w:t>
            </w:r>
          </w:p>
        </w:tc>
        <w:tc>
          <w:tcPr>
            <w:tcW w:w="2481" w:type="dxa"/>
            <w:vAlign w:val="center"/>
          </w:tcPr>
          <w:p w:rsidR="00162B7F" w:rsidRPr="00430C19" w:rsidP="00162B7F">
            <w:pPr>
              <w:jc w:val="center"/>
              <w:rPr>
                <w:rFonts w:cstheme="minorHAnsi"/>
                <w:bCs/>
              </w:rPr>
            </w:pPr>
            <w:r>
              <w:rPr>
                <w:rFonts w:cstheme="minorHAnsi"/>
                <w:bCs/>
              </w:rPr>
              <w:t>96.80%</w:t>
            </w:r>
          </w:p>
        </w:tc>
      </w:tr>
      <w:tr w:rsidTr="007E29BF">
        <w:tblPrEx>
          <w:tblW w:w="9634" w:type="dxa"/>
          <w:tblLook w:val="04A0"/>
        </w:tblPrEx>
        <w:trPr>
          <w:trHeight w:val="284"/>
        </w:trPr>
        <w:tc>
          <w:tcPr>
            <w:tcW w:w="4673" w:type="dxa"/>
            <w:shd w:val="clear" w:color="auto" w:fill="D9D9D9" w:themeFill="background1" w:themeFillShade="D9"/>
            <w:vAlign w:val="center"/>
          </w:tcPr>
          <w:p w:rsidR="00162B7F" w:rsidRPr="00E477A9" w:rsidP="00162B7F">
            <w:pPr>
              <w:jc w:val="both"/>
              <w:rPr>
                <w:rFonts w:cstheme="minorHAnsi"/>
                <w:b/>
              </w:rPr>
            </w:pPr>
            <w:r w:rsidRPr="00E477A9">
              <w:rPr>
                <w:rFonts w:cstheme="minorHAnsi"/>
                <w:b/>
              </w:rPr>
              <w:t>Business Rates</w:t>
            </w:r>
          </w:p>
        </w:tc>
        <w:tc>
          <w:tcPr>
            <w:tcW w:w="2480" w:type="dxa"/>
            <w:shd w:val="clear" w:color="auto" w:fill="D9D9D9" w:themeFill="background1" w:themeFillShade="D9"/>
            <w:vAlign w:val="center"/>
          </w:tcPr>
          <w:p w:rsidR="00162B7F" w:rsidRPr="00E477A9" w:rsidP="00162B7F">
            <w:pPr>
              <w:jc w:val="center"/>
              <w:rPr>
                <w:rFonts w:cstheme="minorHAnsi"/>
                <w:b/>
              </w:rPr>
            </w:pPr>
          </w:p>
        </w:tc>
        <w:tc>
          <w:tcPr>
            <w:tcW w:w="2481" w:type="dxa"/>
            <w:shd w:val="clear" w:color="auto" w:fill="D9D9D9" w:themeFill="background1" w:themeFillShade="D9"/>
            <w:vAlign w:val="center"/>
          </w:tcPr>
          <w:p w:rsidR="00162B7F" w:rsidRPr="00430C19" w:rsidP="00162B7F">
            <w:pPr>
              <w:jc w:val="center"/>
              <w:rPr>
                <w:rFonts w:cstheme="minorHAnsi"/>
                <w:b/>
              </w:rPr>
            </w:pPr>
          </w:p>
        </w:tc>
      </w:tr>
      <w:tr w:rsidTr="007E29BF">
        <w:tblPrEx>
          <w:tblW w:w="9634" w:type="dxa"/>
          <w:tblLook w:val="04A0"/>
        </w:tblPrEx>
        <w:trPr>
          <w:trHeight w:val="284"/>
        </w:trPr>
        <w:tc>
          <w:tcPr>
            <w:tcW w:w="4673" w:type="dxa"/>
            <w:vAlign w:val="center"/>
          </w:tcPr>
          <w:p w:rsidR="00162B7F" w:rsidP="00162B7F">
            <w:pPr>
              <w:jc w:val="both"/>
              <w:rPr>
                <w:rFonts w:cstheme="minorHAnsi"/>
                <w:bCs/>
              </w:rPr>
            </w:pPr>
            <w:r>
              <w:rPr>
                <w:rFonts w:cstheme="minorHAnsi"/>
                <w:bCs/>
              </w:rPr>
              <w:t>Expected Business Rates 21/22</w:t>
            </w:r>
          </w:p>
        </w:tc>
        <w:tc>
          <w:tcPr>
            <w:tcW w:w="2480" w:type="dxa"/>
            <w:vAlign w:val="center"/>
          </w:tcPr>
          <w:p w:rsidR="00162B7F" w:rsidP="00162B7F">
            <w:pPr>
              <w:jc w:val="center"/>
              <w:rPr>
                <w:rFonts w:cstheme="minorHAnsi"/>
                <w:bCs/>
              </w:rPr>
            </w:pPr>
            <w:r>
              <w:rPr>
                <w:rFonts w:cstheme="minorHAnsi"/>
                <w:bCs/>
              </w:rPr>
              <w:t>34,174</w:t>
            </w:r>
          </w:p>
        </w:tc>
        <w:tc>
          <w:tcPr>
            <w:tcW w:w="2481" w:type="dxa"/>
            <w:vAlign w:val="center"/>
          </w:tcPr>
          <w:p w:rsidR="00162B7F" w:rsidRPr="00430C19" w:rsidP="00162B7F">
            <w:pPr>
              <w:jc w:val="center"/>
              <w:rPr>
                <w:rFonts w:cstheme="minorHAnsi"/>
                <w:bCs/>
              </w:rPr>
            </w:pPr>
            <w:r>
              <w:rPr>
                <w:rFonts w:cstheme="minorHAnsi"/>
                <w:bCs/>
              </w:rPr>
              <w:t>24,821</w:t>
            </w:r>
          </w:p>
        </w:tc>
      </w:tr>
      <w:tr w:rsidTr="007E29BF">
        <w:tblPrEx>
          <w:tblW w:w="9634" w:type="dxa"/>
          <w:tblLook w:val="04A0"/>
        </w:tblPrEx>
        <w:trPr>
          <w:trHeight w:val="284"/>
        </w:trPr>
        <w:tc>
          <w:tcPr>
            <w:tcW w:w="4673" w:type="dxa"/>
            <w:vAlign w:val="center"/>
          </w:tcPr>
          <w:p w:rsidR="00162B7F" w:rsidP="00162B7F">
            <w:pPr>
              <w:jc w:val="both"/>
              <w:rPr>
                <w:rFonts w:cstheme="minorHAnsi"/>
                <w:bCs/>
              </w:rPr>
            </w:pPr>
            <w:r>
              <w:rPr>
                <w:rFonts w:cstheme="minorHAnsi"/>
                <w:bCs/>
              </w:rPr>
              <w:t>Current year balance outstanding</w:t>
            </w:r>
          </w:p>
        </w:tc>
        <w:tc>
          <w:tcPr>
            <w:tcW w:w="2480" w:type="dxa"/>
            <w:vAlign w:val="center"/>
          </w:tcPr>
          <w:p w:rsidR="00162B7F" w:rsidP="00162B7F">
            <w:pPr>
              <w:jc w:val="center"/>
              <w:rPr>
                <w:rFonts w:cstheme="minorHAnsi"/>
                <w:bCs/>
              </w:rPr>
            </w:pPr>
            <w:r>
              <w:rPr>
                <w:rFonts w:cstheme="minorHAnsi"/>
                <w:bCs/>
              </w:rPr>
              <w:t>6,746</w:t>
            </w:r>
          </w:p>
        </w:tc>
        <w:tc>
          <w:tcPr>
            <w:tcW w:w="2481" w:type="dxa"/>
            <w:vAlign w:val="center"/>
          </w:tcPr>
          <w:p w:rsidR="00162B7F" w:rsidRPr="00430C19" w:rsidP="00162B7F">
            <w:pPr>
              <w:jc w:val="center"/>
              <w:rPr>
                <w:rFonts w:cstheme="minorHAnsi"/>
                <w:bCs/>
              </w:rPr>
            </w:pPr>
            <w:r>
              <w:rPr>
                <w:rFonts w:cstheme="minorHAnsi"/>
                <w:bCs/>
              </w:rPr>
              <w:t>1,285</w:t>
            </w:r>
          </w:p>
        </w:tc>
      </w:tr>
      <w:tr w:rsidTr="007E29BF">
        <w:tblPrEx>
          <w:tblW w:w="9634" w:type="dxa"/>
          <w:tblLook w:val="04A0"/>
        </w:tblPrEx>
        <w:trPr>
          <w:trHeight w:val="284"/>
        </w:trPr>
        <w:tc>
          <w:tcPr>
            <w:tcW w:w="4673" w:type="dxa"/>
            <w:vAlign w:val="center"/>
          </w:tcPr>
          <w:p w:rsidR="00162B7F" w:rsidP="00162B7F">
            <w:pPr>
              <w:jc w:val="both"/>
              <w:rPr>
                <w:rFonts w:cstheme="minorHAnsi"/>
                <w:bCs/>
              </w:rPr>
            </w:pPr>
            <w:r>
              <w:rPr>
                <w:rFonts w:cstheme="minorHAnsi"/>
                <w:bCs/>
              </w:rPr>
              <w:t>Previous year balance outstanding</w:t>
            </w:r>
          </w:p>
        </w:tc>
        <w:tc>
          <w:tcPr>
            <w:tcW w:w="2480" w:type="dxa"/>
            <w:vAlign w:val="center"/>
          </w:tcPr>
          <w:p w:rsidR="00162B7F" w:rsidP="00162B7F">
            <w:pPr>
              <w:jc w:val="center"/>
              <w:rPr>
                <w:rFonts w:cstheme="minorHAnsi"/>
                <w:bCs/>
              </w:rPr>
            </w:pPr>
            <w:r>
              <w:rPr>
                <w:rFonts w:cstheme="minorHAnsi"/>
                <w:bCs/>
              </w:rPr>
              <w:t>1,325</w:t>
            </w:r>
          </w:p>
        </w:tc>
        <w:tc>
          <w:tcPr>
            <w:tcW w:w="2481" w:type="dxa"/>
            <w:vAlign w:val="center"/>
          </w:tcPr>
          <w:p w:rsidR="00162B7F" w:rsidP="00162B7F">
            <w:pPr>
              <w:jc w:val="center"/>
              <w:rPr>
                <w:rFonts w:cstheme="minorHAnsi"/>
                <w:bCs/>
              </w:rPr>
            </w:pPr>
            <w:r>
              <w:rPr>
                <w:rFonts w:cstheme="minorHAnsi"/>
                <w:bCs/>
              </w:rPr>
              <w:t>744</w:t>
            </w:r>
          </w:p>
        </w:tc>
      </w:tr>
      <w:tr w:rsidTr="007E29BF">
        <w:tblPrEx>
          <w:tblW w:w="9634" w:type="dxa"/>
          <w:tblLook w:val="04A0"/>
        </w:tblPrEx>
        <w:trPr>
          <w:trHeight w:val="284"/>
        </w:trPr>
        <w:tc>
          <w:tcPr>
            <w:tcW w:w="4673" w:type="dxa"/>
            <w:vAlign w:val="center"/>
          </w:tcPr>
          <w:p w:rsidR="00162B7F" w:rsidRPr="00D56230" w:rsidP="00162B7F">
            <w:pPr>
              <w:jc w:val="both"/>
              <w:rPr>
                <w:rFonts w:cstheme="minorHAnsi"/>
                <w:b/>
              </w:rPr>
            </w:pPr>
            <w:r w:rsidRPr="00D56230">
              <w:rPr>
                <w:rFonts w:cstheme="minorHAnsi"/>
                <w:b/>
              </w:rPr>
              <w:t xml:space="preserve">Total </w:t>
            </w:r>
            <w:r>
              <w:rPr>
                <w:rFonts w:cstheme="minorHAnsi"/>
                <w:b/>
              </w:rPr>
              <w:t xml:space="preserve">Business Rates </w:t>
            </w:r>
            <w:r w:rsidRPr="00D56230">
              <w:rPr>
                <w:rFonts w:cstheme="minorHAnsi"/>
                <w:b/>
              </w:rPr>
              <w:t>balance</w:t>
            </w:r>
            <w:r>
              <w:rPr>
                <w:rFonts w:cstheme="minorHAnsi"/>
                <w:b/>
              </w:rPr>
              <w:t xml:space="preserve"> outstanding</w:t>
            </w:r>
          </w:p>
        </w:tc>
        <w:tc>
          <w:tcPr>
            <w:tcW w:w="2480" w:type="dxa"/>
            <w:vAlign w:val="center"/>
          </w:tcPr>
          <w:p w:rsidR="00162B7F" w:rsidRPr="00D56230" w:rsidP="00162B7F">
            <w:pPr>
              <w:jc w:val="center"/>
              <w:rPr>
                <w:rFonts w:cstheme="minorHAnsi"/>
                <w:b/>
              </w:rPr>
            </w:pPr>
            <w:r>
              <w:rPr>
                <w:rFonts w:cstheme="minorHAnsi"/>
                <w:b/>
              </w:rPr>
              <w:t>8,071</w:t>
            </w:r>
          </w:p>
        </w:tc>
        <w:tc>
          <w:tcPr>
            <w:tcW w:w="2481" w:type="dxa"/>
            <w:vAlign w:val="center"/>
          </w:tcPr>
          <w:p w:rsidR="00162B7F" w:rsidRPr="00D56230" w:rsidP="00162B7F">
            <w:pPr>
              <w:jc w:val="center"/>
              <w:rPr>
                <w:rFonts w:cstheme="minorHAnsi"/>
                <w:b/>
              </w:rPr>
            </w:pPr>
            <w:r>
              <w:rPr>
                <w:rFonts w:cstheme="minorHAnsi"/>
                <w:b/>
              </w:rPr>
              <w:t>2,030</w:t>
            </w:r>
          </w:p>
        </w:tc>
      </w:tr>
      <w:tr w:rsidTr="007E29BF">
        <w:tblPrEx>
          <w:tblW w:w="9634" w:type="dxa"/>
          <w:tblLook w:val="04A0"/>
        </w:tblPrEx>
        <w:trPr>
          <w:trHeight w:val="284"/>
        </w:trPr>
        <w:tc>
          <w:tcPr>
            <w:tcW w:w="4673" w:type="dxa"/>
            <w:vAlign w:val="center"/>
          </w:tcPr>
          <w:p w:rsidR="00162B7F" w:rsidP="00162B7F">
            <w:pPr>
              <w:jc w:val="both"/>
              <w:rPr>
                <w:rFonts w:cstheme="minorHAnsi"/>
                <w:bCs/>
              </w:rPr>
            </w:pPr>
            <w:r>
              <w:rPr>
                <w:rFonts w:cstheme="minorHAnsi"/>
                <w:bCs/>
              </w:rPr>
              <w:t>Collection Rates</w:t>
            </w:r>
          </w:p>
        </w:tc>
        <w:tc>
          <w:tcPr>
            <w:tcW w:w="2480" w:type="dxa"/>
            <w:vAlign w:val="center"/>
          </w:tcPr>
          <w:p w:rsidR="00162B7F" w:rsidP="00162B7F">
            <w:pPr>
              <w:jc w:val="center"/>
              <w:rPr>
                <w:rFonts w:cstheme="minorHAnsi"/>
                <w:bCs/>
              </w:rPr>
            </w:pPr>
            <w:r>
              <w:rPr>
                <w:rFonts w:cstheme="minorHAnsi"/>
                <w:bCs/>
              </w:rPr>
              <w:t>76.79%</w:t>
            </w:r>
          </w:p>
        </w:tc>
        <w:tc>
          <w:tcPr>
            <w:tcW w:w="2481" w:type="dxa"/>
            <w:vAlign w:val="center"/>
          </w:tcPr>
          <w:p w:rsidR="00162B7F" w:rsidP="00162B7F">
            <w:pPr>
              <w:jc w:val="center"/>
              <w:rPr>
                <w:rFonts w:cstheme="minorHAnsi"/>
                <w:bCs/>
              </w:rPr>
            </w:pPr>
            <w:r>
              <w:rPr>
                <w:rFonts w:cstheme="minorHAnsi"/>
                <w:bCs/>
              </w:rPr>
              <w:t>95.02%</w:t>
            </w:r>
          </w:p>
        </w:tc>
      </w:tr>
      <w:tr w:rsidTr="007E29BF">
        <w:tblPrEx>
          <w:tblW w:w="9634" w:type="dxa"/>
          <w:tblLook w:val="04A0"/>
        </w:tblPrEx>
        <w:trPr>
          <w:trHeight w:val="284"/>
        </w:trPr>
        <w:tc>
          <w:tcPr>
            <w:tcW w:w="4673" w:type="dxa"/>
            <w:shd w:val="clear" w:color="auto" w:fill="D9D9D9" w:themeFill="background1" w:themeFillShade="D9"/>
            <w:vAlign w:val="center"/>
          </w:tcPr>
          <w:p w:rsidR="00162B7F" w:rsidRPr="00D56230" w:rsidP="00162B7F">
            <w:pPr>
              <w:jc w:val="both"/>
              <w:rPr>
                <w:rFonts w:cstheme="minorHAnsi"/>
                <w:b/>
              </w:rPr>
            </w:pPr>
            <w:r w:rsidRPr="00D56230">
              <w:rPr>
                <w:rFonts w:cstheme="minorHAnsi"/>
                <w:b/>
              </w:rPr>
              <w:t>Housing Benefit</w:t>
            </w:r>
          </w:p>
        </w:tc>
        <w:tc>
          <w:tcPr>
            <w:tcW w:w="2480" w:type="dxa"/>
            <w:shd w:val="clear" w:color="auto" w:fill="D9D9D9" w:themeFill="background1" w:themeFillShade="D9"/>
            <w:vAlign w:val="center"/>
          </w:tcPr>
          <w:p w:rsidR="00162B7F" w:rsidRPr="00D56230" w:rsidP="00162B7F">
            <w:pPr>
              <w:jc w:val="center"/>
              <w:rPr>
                <w:rFonts w:cstheme="minorHAnsi"/>
                <w:b/>
              </w:rPr>
            </w:pPr>
          </w:p>
        </w:tc>
        <w:tc>
          <w:tcPr>
            <w:tcW w:w="2481" w:type="dxa"/>
            <w:shd w:val="clear" w:color="auto" w:fill="D9D9D9" w:themeFill="background1" w:themeFillShade="D9"/>
            <w:vAlign w:val="center"/>
          </w:tcPr>
          <w:p w:rsidR="00162B7F" w:rsidRPr="00D56230" w:rsidP="00162B7F">
            <w:pPr>
              <w:jc w:val="center"/>
              <w:rPr>
                <w:rFonts w:cstheme="minorHAnsi"/>
                <w:b/>
              </w:rPr>
            </w:pPr>
          </w:p>
        </w:tc>
      </w:tr>
      <w:tr w:rsidTr="007E29BF">
        <w:tblPrEx>
          <w:tblW w:w="9634" w:type="dxa"/>
          <w:tblLook w:val="04A0"/>
        </w:tblPrEx>
        <w:trPr>
          <w:trHeight w:val="284"/>
        </w:trPr>
        <w:tc>
          <w:tcPr>
            <w:tcW w:w="4673" w:type="dxa"/>
            <w:vAlign w:val="center"/>
          </w:tcPr>
          <w:p w:rsidR="00162B7F" w:rsidP="00162B7F">
            <w:pPr>
              <w:jc w:val="both"/>
              <w:rPr>
                <w:rFonts w:cstheme="minorHAnsi"/>
                <w:bCs/>
              </w:rPr>
            </w:pPr>
            <w:r>
              <w:rPr>
                <w:rFonts w:cstheme="minorHAnsi"/>
                <w:bCs/>
              </w:rPr>
              <w:t>Overpayment balances outstanding</w:t>
            </w:r>
          </w:p>
        </w:tc>
        <w:tc>
          <w:tcPr>
            <w:tcW w:w="2480" w:type="dxa"/>
            <w:vAlign w:val="center"/>
          </w:tcPr>
          <w:p w:rsidR="00162B7F" w:rsidP="00162B7F">
            <w:pPr>
              <w:jc w:val="center"/>
              <w:rPr>
                <w:rFonts w:cstheme="minorHAnsi"/>
                <w:bCs/>
              </w:rPr>
            </w:pPr>
            <w:r>
              <w:rPr>
                <w:rFonts w:cstheme="minorHAnsi"/>
                <w:bCs/>
              </w:rPr>
              <w:t>872</w:t>
            </w:r>
          </w:p>
        </w:tc>
        <w:tc>
          <w:tcPr>
            <w:tcW w:w="2481" w:type="dxa"/>
            <w:vAlign w:val="center"/>
          </w:tcPr>
          <w:p w:rsidR="00162B7F" w:rsidP="00162B7F">
            <w:pPr>
              <w:jc w:val="center"/>
              <w:rPr>
                <w:rFonts w:cstheme="minorHAnsi"/>
                <w:bCs/>
              </w:rPr>
            </w:pPr>
            <w:r>
              <w:rPr>
                <w:rFonts w:cstheme="minorHAnsi"/>
                <w:bCs/>
              </w:rPr>
              <w:t>976</w:t>
            </w:r>
          </w:p>
        </w:tc>
      </w:tr>
      <w:tr w:rsidTr="007E29BF">
        <w:tblPrEx>
          <w:tblW w:w="9634" w:type="dxa"/>
          <w:tblLook w:val="04A0"/>
        </w:tblPrEx>
        <w:trPr>
          <w:trHeight w:val="284"/>
        </w:trPr>
        <w:tc>
          <w:tcPr>
            <w:tcW w:w="4673" w:type="dxa"/>
            <w:shd w:val="clear" w:color="auto" w:fill="D9D9D9" w:themeFill="background1" w:themeFillShade="D9"/>
            <w:vAlign w:val="center"/>
          </w:tcPr>
          <w:p w:rsidR="003F3DFE" w:rsidRPr="00D56230" w:rsidP="003F3DFE">
            <w:pPr>
              <w:jc w:val="both"/>
              <w:rPr>
                <w:rFonts w:cstheme="minorHAnsi"/>
                <w:b/>
              </w:rPr>
            </w:pPr>
            <w:r w:rsidRPr="00D56230">
              <w:rPr>
                <w:rFonts w:cstheme="minorHAnsi"/>
                <w:b/>
              </w:rPr>
              <w:t>Sundry Debtors</w:t>
            </w:r>
          </w:p>
        </w:tc>
        <w:tc>
          <w:tcPr>
            <w:tcW w:w="2480" w:type="dxa"/>
            <w:shd w:val="clear" w:color="auto" w:fill="D9D9D9" w:themeFill="background1" w:themeFillShade="D9"/>
            <w:vAlign w:val="center"/>
          </w:tcPr>
          <w:p w:rsidR="003F3DFE" w:rsidRPr="00D56230" w:rsidP="003F3DFE">
            <w:pPr>
              <w:jc w:val="center"/>
              <w:rPr>
                <w:rFonts w:cstheme="minorHAnsi"/>
                <w:b/>
              </w:rPr>
            </w:pPr>
            <w:r>
              <w:rPr>
                <w:rFonts w:cstheme="minorHAnsi"/>
                <w:b/>
              </w:rPr>
              <w:t>31</w:t>
            </w:r>
            <w:r w:rsidRPr="0033796E">
              <w:rPr>
                <w:rFonts w:cstheme="minorHAnsi"/>
                <w:b/>
                <w:vertAlign w:val="superscript"/>
              </w:rPr>
              <w:t>st</w:t>
            </w:r>
            <w:r>
              <w:rPr>
                <w:rFonts w:cstheme="minorHAnsi"/>
                <w:b/>
              </w:rPr>
              <w:t xml:space="preserve"> January 2022</w:t>
            </w:r>
          </w:p>
        </w:tc>
        <w:tc>
          <w:tcPr>
            <w:tcW w:w="2481" w:type="dxa"/>
            <w:shd w:val="clear" w:color="auto" w:fill="D9D9D9" w:themeFill="background1" w:themeFillShade="D9"/>
            <w:vAlign w:val="center"/>
          </w:tcPr>
          <w:p w:rsidR="003F3DFE" w:rsidRPr="00D56230" w:rsidP="003F3DFE">
            <w:pPr>
              <w:jc w:val="center"/>
              <w:rPr>
                <w:rFonts w:cstheme="minorHAnsi"/>
                <w:b/>
              </w:rPr>
            </w:pPr>
            <w:r>
              <w:rPr>
                <w:rFonts w:cstheme="minorHAnsi"/>
                <w:b/>
              </w:rPr>
              <w:t>30th Sept</w:t>
            </w:r>
            <w:r w:rsidRPr="00D56230">
              <w:rPr>
                <w:rFonts w:cstheme="minorHAnsi"/>
                <w:b/>
              </w:rPr>
              <w:t xml:space="preserve"> 2021</w:t>
            </w:r>
          </w:p>
        </w:tc>
      </w:tr>
      <w:tr w:rsidTr="007E29BF">
        <w:tblPrEx>
          <w:tblW w:w="9634" w:type="dxa"/>
          <w:tblLook w:val="04A0"/>
        </w:tblPrEx>
        <w:trPr>
          <w:trHeight w:val="284"/>
        </w:trPr>
        <w:tc>
          <w:tcPr>
            <w:tcW w:w="4673" w:type="dxa"/>
            <w:vAlign w:val="center"/>
          </w:tcPr>
          <w:p w:rsidR="003F3DFE" w:rsidRPr="00EB17F7" w:rsidP="003F3DFE">
            <w:pPr>
              <w:jc w:val="both"/>
              <w:rPr>
                <w:rFonts w:cstheme="minorHAnsi"/>
                <w:bCs/>
              </w:rPr>
            </w:pPr>
            <w:r>
              <w:rPr>
                <w:rFonts w:cstheme="minorHAnsi"/>
                <w:bCs/>
              </w:rPr>
              <w:t>Balance outstanding</w:t>
            </w:r>
          </w:p>
        </w:tc>
        <w:tc>
          <w:tcPr>
            <w:tcW w:w="2480" w:type="dxa"/>
            <w:vAlign w:val="center"/>
          </w:tcPr>
          <w:p w:rsidR="003F3DFE" w:rsidRPr="003E6B24" w:rsidP="003F3DFE">
            <w:pPr>
              <w:jc w:val="center"/>
              <w:rPr>
                <w:rFonts w:cstheme="minorHAnsi"/>
                <w:bCs/>
                <w:highlight w:val="magenta"/>
              </w:rPr>
            </w:pPr>
            <w:r w:rsidRPr="00556E3A">
              <w:rPr>
                <w:rFonts w:cstheme="minorHAnsi"/>
                <w:bCs/>
              </w:rPr>
              <w:t>1,191</w:t>
            </w:r>
          </w:p>
        </w:tc>
        <w:tc>
          <w:tcPr>
            <w:tcW w:w="2481" w:type="dxa"/>
            <w:vAlign w:val="center"/>
          </w:tcPr>
          <w:p w:rsidR="003F3DFE" w:rsidP="003F3DFE">
            <w:pPr>
              <w:jc w:val="center"/>
              <w:rPr>
                <w:rFonts w:cstheme="minorHAnsi"/>
                <w:bCs/>
              </w:rPr>
            </w:pPr>
            <w:r>
              <w:rPr>
                <w:rFonts w:cstheme="minorHAnsi"/>
                <w:bCs/>
              </w:rPr>
              <w:t>1,133</w:t>
            </w:r>
          </w:p>
        </w:tc>
      </w:tr>
    </w:tbl>
    <w:p w:rsidR="00162B7F" w:rsidP="00162B7F">
      <w:pPr>
        <w:tabs>
          <w:tab w:val="left" w:pos="567"/>
        </w:tabs>
        <w:ind w:right="-284"/>
        <w:rPr>
          <w:rFonts w:ascii="Arial" w:eastAsia="Times New Roman" w:hAnsi="Arial" w:cs="Arial"/>
          <w:lang w:eastAsia="en-GB"/>
        </w:rPr>
      </w:pPr>
    </w:p>
    <w:p w:rsidR="00162B7F" w:rsidRPr="00CC698E" w:rsidP="00162B7F">
      <w:pPr>
        <w:tabs>
          <w:tab w:val="left" w:pos="567"/>
        </w:tabs>
        <w:ind w:right="-284"/>
        <w:rPr>
          <w:rFonts w:ascii="Arial" w:eastAsia="Times New Roman" w:hAnsi="Arial" w:cs="Arial"/>
          <w:lang w:eastAsia="en-GB"/>
        </w:rPr>
      </w:pPr>
    </w:p>
    <w:p w:rsidR="00162B7F" w:rsidRPr="00793A73" w:rsidP="00162B7F">
      <w:pPr>
        <w:pStyle w:val="ListParagraph"/>
        <w:numPr>
          <w:ilvl w:val="0"/>
          <w:numId w:val="8"/>
        </w:numPr>
        <w:tabs>
          <w:tab w:val="left" w:pos="567"/>
        </w:tabs>
        <w:ind w:left="567" w:right="-284" w:hanging="567"/>
        <w:rPr>
          <w:rFonts w:ascii="Arial" w:eastAsia="Times New Roman" w:hAnsi="Arial" w:cs="Arial"/>
          <w:lang w:eastAsia="en-GB"/>
        </w:rPr>
      </w:pPr>
      <w:r w:rsidRPr="00793A73">
        <w:t xml:space="preserve">Business Rates </w:t>
      </w:r>
      <w:r w:rsidRPr="00793A73">
        <w:t xml:space="preserve">collection can fluctuate month on month but collection is currently broadly in line with expectations.  Expected Business Rates for 2021/22 are much higher compared to those for last year due to the </w:t>
      </w:r>
      <w:r w:rsidRPr="00793A73">
        <w:t>Covid</w:t>
      </w:r>
      <w:r w:rsidRPr="00793A73">
        <w:t xml:space="preserve"> reliefs that were applied in 2020/21 which are no l</w:t>
      </w:r>
      <w:r w:rsidRPr="00793A73">
        <w:t>onger applicable in 2021/22.</w:t>
      </w:r>
    </w:p>
    <w:p w:rsidR="00162B7F" w:rsidRPr="00793A73" w:rsidP="00162B7F">
      <w:pPr>
        <w:pStyle w:val="ListParagraph"/>
        <w:tabs>
          <w:tab w:val="left" w:pos="567"/>
        </w:tabs>
        <w:ind w:left="567" w:right="-284"/>
        <w:rPr>
          <w:rFonts w:ascii="Arial" w:eastAsia="Times New Roman" w:hAnsi="Arial" w:cs="Arial"/>
          <w:lang w:eastAsia="en-GB"/>
        </w:rPr>
      </w:pPr>
    </w:p>
    <w:p w:rsidR="00162B7F" w:rsidRPr="00793A73" w:rsidP="00162B7F">
      <w:pPr>
        <w:pStyle w:val="ListParagraph"/>
        <w:numPr>
          <w:ilvl w:val="0"/>
          <w:numId w:val="8"/>
        </w:numPr>
        <w:tabs>
          <w:tab w:val="left" w:pos="567"/>
        </w:tabs>
        <w:ind w:left="567" w:right="-284" w:hanging="567"/>
        <w:rPr>
          <w:rFonts w:ascii="Arial" w:eastAsia="Times New Roman" w:hAnsi="Arial" w:cs="Arial"/>
          <w:lang w:eastAsia="en-GB"/>
        </w:rPr>
      </w:pPr>
      <w:r w:rsidRPr="00793A73">
        <w:rPr>
          <w:rFonts w:ascii="Arial" w:eastAsia="Times New Roman" w:hAnsi="Arial" w:cs="Arial"/>
          <w:lang w:eastAsia="en-GB"/>
        </w:rPr>
        <w:t>For debts relating to Housing Benefit and Sundry Debtors, in line with accounting standards and practice, the Council holds a provision for bad debt.</w:t>
      </w:r>
    </w:p>
    <w:p w:rsidR="00162B7F" w:rsidRPr="00793A73" w:rsidP="00162B7F">
      <w:pPr>
        <w:pStyle w:val="ListParagraph"/>
        <w:tabs>
          <w:tab w:val="left" w:pos="567"/>
        </w:tabs>
        <w:ind w:left="567" w:right="-284"/>
        <w:rPr>
          <w:rFonts w:ascii="Arial" w:eastAsia="Times New Roman" w:hAnsi="Arial" w:cs="Arial"/>
          <w:lang w:eastAsia="en-GB"/>
        </w:rPr>
      </w:pPr>
    </w:p>
    <w:p w:rsidR="00162B7F" w:rsidRPr="00793A73" w:rsidP="00162B7F">
      <w:pPr>
        <w:pStyle w:val="ListParagraph"/>
        <w:numPr>
          <w:ilvl w:val="0"/>
          <w:numId w:val="8"/>
        </w:numPr>
        <w:tabs>
          <w:tab w:val="left" w:pos="567"/>
        </w:tabs>
        <w:ind w:left="567" w:right="-284" w:hanging="567"/>
        <w:rPr>
          <w:rFonts w:ascii="Arial" w:eastAsia="Times New Roman" w:hAnsi="Arial" w:cs="Arial"/>
          <w:lang w:eastAsia="en-GB"/>
        </w:rPr>
      </w:pPr>
      <w:r w:rsidRPr="00793A73">
        <w:rPr>
          <w:rFonts w:ascii="Arial" w:eastAsia="Times New Roman" w:hAnsi="Arial" w:cs="Arial"/>
          <w:lang w:eastAsia="en-GB"/>
        </w:rPr>
        <w:t xml:space="preserve">In respect of the figures above, the Council’s share represents 11.6% of </w:t>
      </w:r>
      <w:r w:rsidRPr="00793A73">
        <w:rPr>
          <w:rFonts w:ascii="Arial" w:eastAsia="Times New Roman" w:hAnsi="Arial" w:cs="Arial"/>
          <w:lang w:eastAsia="en-GB"/>
        </w:rPr>
        <w:t>Council Tax income</w:t>
      </w:r>
      <w:r>
        <w:rPr>
          <w:rFonts w:ascii="Arial" w:eastAsia="Times New Roman" w:hAnsi="Arial" w:cs="Arial"/>
          <w:lang w:eastAsia="en-GB"/>
        </w:rPr>
        <w:t>.</w:t>
      </w:r>
      <w:r w:rsidRPr="00793A73">
        <w:rPr>
          <w:rFonts w:ascii="Arial" w:eastAsia="Times New Roman" w:hAnsi="Arial" w:cs="Arial"/>
          <w:lang w:eastAsia="en-GB"/>
        </w:rPr>
        <w:t xml:space="preserve">. </w:t>
      </w:r>
    </w:p>
    <w:p w:rsidR="00162B7F" w:rsidP="00162B7F">
      <w:pPr>
        <w:jc w:val="both"/>
        <w:rPr>
          <w:rFonts w:cstheme="minorHAnsi"/>
          <w:bCs/>
          <w:iCs/>
        </w:rPr>
      </w:pPr>
    </w:p>
    <w:p w:rsidR="00162B7F" w:rsidP="00162B7F">
      <w:pPr>
        <w:jc w:val="both"/>
        <w:rPr>
          <w:rFonts w:cstheme="minorHAnsi"/>
          <w:bCs/>
          <w:iCs/>
        </w:rPr>
      </w:pPr>
    </w:p>
    <w:p w:rsidR="00162B7F" w:rsidP="00162B7F">
      <w:pPr>
        <w:pStyle w:val="Heading2"/>
      </w:pPr>
      <w:r>
        <w:t>Climate change and air quality</w:t>
      </w:r>
    </w:p>
    <w:p w:rsidR="00162B7F" w:rsidRPr="00E06F2E" w:rsidP="00162B7F">
      <w:pPr>
        <w:pStyle w:val="ListParagraph"/>
        <w:numPr>
          <w:ilvl w:val="0"/>
          <w:numId w:val="8"/>
        </w:numPr>
        <w:tabs>
          <w:tab w:val="left" w:pos="567"/>
        </w:tabs>
        <w:ind w:left="567" w:right="-284" w:hanging="567"/>
        <w:rPr>
          <w:rFonts w:ascii="Arial" w:eastAsia="Times New Roman" w:hAnsi="Arial" w:cs="Arial"/>
          <w:lang w:eastAsia="en-GB"/>
        </w:rPr>
      </w:pPr>
      <w:r w:rsidRPr="00E06F2E">
        <w:t>The work noted in this report does not impact the climate change and sustainability targets of the Councils Green Agenda and all environmental considerations are in place.</w:t>
      </w:r>
    </w:p>
    <w:p w:rsidR="00162B7F" w:rsidP="00162B7F">
      <w:pPr>
        <w:tabs>
          <w:tab w:val="left" w:pos="567"/>
        </w:tabs>
        <w:ind w:right="-284"/>
        <w:rPr>
          <w:rFonts w:ascii="Arial" w:eastAsia="Times New Roman" w:hAnsi="Arial" w:cs="Arial"/>
          <w:lang w:eastAsia="en-GB"/>
        </w:rPr>
      </w:pPr>
    </w:p>
    <w:p w:rsidR="00162B7F" w:rsidRPr="00ED4FF1" w:rsidP="00162B7F">
      <w:pPr>
        <w:pStyle w:val="Heading2"/>
      </w:pPr>
      <w:r w:rsidRPr="00ED4FF1">
        <w:t>Equality and diversity</w:t>
      </w:r>
    </w:p>
    <w:p w:rsidR="00162B7F" w:rsidP="00162B7F">
      <w:pPr>
        <w:numPr>
          <w:ilvl w:val="0"/>
          <w:numId w:val="8"/>
        </w:numPr>
        <w:jc w:val="both"/>
        <w:rPr>
          <w:rFonts w:cstheme="minorHAnsi"/>
          <w:bCs/>
          <w:iCs/>
        </w:rPr>
      </w:pPr>
      <w:r>
        <w:rPr>
          <w:rFonts w:cstheme="minorHAnsi"/>
          <w:bCs/>
          <w:iCs/>
        </w:rPr>
        <w:t>None</w:t>
      </w:r>
    </w:p>
    <w:p w:rsidR="00162B7F" w:rsidP="00162B7F">
      <w:pPr>
        <w:ind w:left="360"/>
        <w:jc w:val="both"/>
        <w:rPr>
          <w:rFonts w:cstheme="minorHAnsi"/>
          <w:bCs/>
          <w:iCs/>
        </w:rPr>
      </w:pPr>
    </w:p>
    <w:p w:rsidR="00162B7F" w:rsidP="00162B7F">
      <w:pPr>
        <w:pStyle w:val="Heading2"/>
      </w:pPr>
      <w:r>
        <w:t>Risk</w:t>
      </w:r>
    </w:p>
    <w:p w:rsidR="00162B7F" w:rsidP="00052DF7">
      <w:pPr>
        <w:numPr>
          <w:ilvl w:val="0"/>
          <w:numId w:val="8"/>
        </w:numPr>
        <w:jc w:val="both"/>
        <w:rPr>
          <w:rFonts w:cstheme="minorHAnsi"/>
          <w:bCs/>
          <w:iCs/>
        </w:rPr>
      </w:pPr>
      <w:r w:rsidRPr="00052DF7">
        <w:rPr>
          <w:rFonts w:cstheme="minorHAnsi"/>
          <w:bCs/>
          <w:iCs/>
        </w:rPr>
        <w:t>Any risks are addressed in the body of the report.</w:t>
      </w:r>
    </w:p>
    <w:p w:rsidR="00052DF7" w:rsidP="00052DF7">
      <w:pPr>
        <w:ind w:left="360"/>
        <w:jc w:val="both"/>
        <w:rPr>
          <w:rFonts w:cstheme="minorHAnsi"/>
          <w:bCs/>
          <w:iCs/>
        </w:rPr>
      </w:pPr>
    </w:p>
    <w:p w:rsidR="00162B7F" w:rsidRPr="00ED4FF1" w:rsidP="00162B7F">
      <w:pPr>
        <w:pStyle w:val="Heading2"/>
      </w:pPr>
      <w:r w:rsidRPr="00ED4FF1">
        <w:t>Com</w:t>
      </w:r>
      <w:r>
        <w:t>m</w:t>
      </w:r>
      <w:r w:rsidRPr="00ED4FF1">
        <w:t>ents of the Statutory Finance Officer</w:t>
      </w:r>
    </w:p>
    <w:p w:rsidR="00162B7F" w:rsidRPr="00883AC9" w:rsidP="00162B7F">
      <w:pPr>
        <w:numPr>
          <w:ilvl w:val="0"/>
          <w:numId w:val="8"/>
        </w:numPr>
        <w:jc w:val="both"/>
        <w:rPr>
          <w:rFonts w:cstheme="minorHAnsi"/>
          <w:bCs/>
          <w:iCs/>
        </w:rPr>
      </w:pPr>
      <w:r w:rsidRPr="003042F6">
        <w:rPr>
          <w:rFonts w:cstheme="minorHAnsi"/>
          <w:bCs/>
          <w:iCs/>
        </w:rPr>
        <w:t>The financial implications are contained within this</w:t>
      </w:r>
      <w:r>
        <w:rPr>
          <w:rFonts w:cstheme="minorHAnsi"/>
          <w:bCs/>
          <w:iCs/>
        </w:rPr>
        <w:t xml:space="preserve"> report.</w:t>
      </w:r>
    </w:p>
    <w:p w:rsidR="00826DFA" w:rsidRPr="00D4431F" w:rsidP="00162B7F">
      <w:pPr>
        <w:jc w:val="both"/>
        <w:rPr>
          <w:rFonts w:cstheme="minorHAnsi"/>
          <w:bCs/>
        </w:rPr>
      </w:pPr>
    </w:p>
    <w:p w:rsidR="00162B7F" w:rsidRPr="00ED4FF1" w:rsidP="00162B7F">
      <w:pPr>
        <w:pStyle w:val="Heading2"/>
      </w:pPr>
      <w:r w:rsidRPr="00ED4FF1">
        <w:t>Comments of the Monitoring Officer</w:t>
      </w:r>
    </w:p>
    <w:p w:rsidR="00162B7F" w:rsidRPr="00883AC9" w:rsidP="00162B7F">
      <w:pPr>
        <w:numPr>
          <w:ilvl w:val="0"/>
          <w:numId w:val="8"/>
        </w:numPr>
        <w:jc w:val="both"/>
        <w:rPr>
          <w:rFonts w:cstheme="minorHAnsi"/>
          <w:bCs/>
          <w:iCs/>
        </w:rPr>
      </w:pPr>
      <w:r w:rsidRPr="007148BC">
        <w:rPr>
          <w:rFonts w:cstheme="minorHAnsi"/>
          <w:bCs/>
          <w:iCs/>
        </w:rPr>
        <w:t xml:space="preserve">There are no concerns with this report from a </w:t>
      </w:r>
      <w:r w:rsidRPr="007148BC">
        <w:rPr>
          <w:rFonts w:cstheme="minorHAnsi"/>
          <w:bCs/>
          <w:iCs/>
        </w:rPr>
        <w:t>Monitoring Officer perspective.</w:t>
      </w:r>
    </w:p>
    <w:p w:rsidR="00162B7F" w:rsidP="00162B7F">
      <w:pPr>
        <w:jc w:val="both"/>
        <w:rPr>
          <w:rFonts w:cstheme="minorHAnsi"/>
          <w:bCs/>
        </w:rPr>
      </w:pPr>
    </w:p>
    <w:p w:rsidR="00162B7F" w:rsidRPr="007E29BF" w:rsidP="007E29BF">
      <w:pPr>
        <w:pStyle w:val="Heading2"/>
      </w:pPr>
      <w:r w:rsidRPr="007E29BF">
        <w:rPr>
          <w:rStyle w:val="Heading2Char"/>
          <w:rFonts w:eastAsiaTheme="minorHAnsi"/>
          <w:b/>
          <w:bCs/>
        </w:rPr>
        <w:t>Background documents</w:t>
      </w:r>
    </w:p>
    <w:p w:rsidR="00162B7F" w:rsidP="00162B7F">
      <w:pPr>
        <w:numPr>
          <w:ilvl w:val="0"/>
          <w:numId w:val="8"/>
        </w:numPr>
        <w:jc w:val="both"/>
        <w:rPr>
          <w:rFonts w:cstheme="minorHAnsi"/>
          <w:bCs/>
          <w:iCs/>
        </w:rPr>
      </w:pPr>
      <w:r w:rsidRPr="007148BC">
        <w:rPr>
          <w:rFonts w:eastAsia="Times New Roman" w:cstheme="minorHAnsi"/>
          <w:bCs/>
          <w:color w:val="000000" w:themeColor="text1"/>
          <w:kern w:val="36"/>
          <w:lang w:eastAsia="en-GB"/>
        </w:rPr>
        <w:t>The information contained within the report is in line with the Capital Strategy and the Three Year Budget Forecast within the Medium Term Financial Strategy 202</w:t>
      </w:r>
      <w:r>
        <w:rPr>
          <w:rFonts w:eastAsia="Times New Roman" w:cstheme="minorHAnsi"/>
          <w:bCs/>
          <w:color w:val="000000" w:themeColor="text1"/>
          <w:kern w:val="36"/>
          <w:lang w:eastAsia="en-GB"/>
        </w:rPr>
        <w:t>2</w:t>
      </w:r>
      <w:r w:rsidRPr="007148BC">
        <w:rPr>
          <w:rFonts w:eastAsia="Times New Roman" w:cstheme="minorHAnsi"/>
          <w:bCs/>
          <w:color w:val="000000" w:themeColor="text1"/>
          <w:kern w:val="36"/>
          <w:lang w:eastAsia="en-GB"/>
        </w:rPr>
        <w:t>-2</w:t>
      </w:r>
      <w:r>
        <w:rPr>
          <w:rFonts w:eastAsia="Times New Roman" w:cstheme="minorHAnsi"/>
          <w:bCs/>
          <w:color w:val="000000" w:themeColor="text1"/>
          <w:kern w:val="36"/>
          <w:lang w:eastAsia="en-GB"/>
        </w:rPr>
        <w:t>5</w:t>
      </w:r>
      <w:r w:rsidRPr="007148BC">
        <w:rPr>
          <w:rFonts w:eastAsia="Times New Roman" w:cstheme="minorHAnsi"/>
          <w:bCs/>
          <w:color w:val="000000" w:themeColor="text1"/>
          <w:kern w:val="36"/>
          <w:lang w:eastAsia="en-GB"/>
        </w:rPr>
        <w:t xml:space="preserve">, as approved by Council </w:t>
      </w:r>
      <w:r>
        <w:rPr>
          <w:rFonts w:eastAsia="Times New Roman" w:cstheme="minorHAnsi"/>
          <w:bCs/>
          <w:color w:val="000000" w:themeColor="text1"/>
          <w:kern w:val="36"/>
          <w:lang w:eastAsia="en-GB"/>
        </w:rPr>
        <w:t>i</w:t>
      </w:r>
      <w:r w:rsidRPr="007148BC">
        <w:rPr>
          <w:rFonts w:eastAsia="Times New Roman" w:cstheme="minorHAnsi"/>
          <w:bCs/>
          <w:color w:val="000000" w:themeColor="text1"/>
          <w:kern w:val="36"/>
          <w:lang w:eastAsia="en-GB"/>
        </w:rPr>
        <w:t>n February 202</w:t>
      </w:r>
      <w:r>
        <w:rPr>
          <w:rFonts w:eastAsia="Times New Roman" w:cstheme="minorHAnsi"/>
          <w:bCs/>
          <w:color w:val="000000" w:themeColor="text1"/>
          <w:kern w:val="36"/>
          <w:lang w:eastAsia="en-GB"/>
        </w:rPr>
        <w:t>2</w:t>
      </w:r>
      <w:r w:rsidRPr="007148BC">
        <w:rPr>
          <w:rFonts w:eastAsia="Times New Roman" w:cstheme="minorHAnsi"/>
          <w:bCs/>
          <w:color w:val="000000" w:themeColor="text1"/>
          <w:kern w:val="36"/>
          <w:lang w:eastAsia="en-GB"/>
        </w:rPr>
        <w:t>.</w:t>
      </w:r>
    </w:p>
    <w:p w:rsidR="00162B7F" w:rsidP="00162B7F">
      <w:pPr>
        <w:jc w:val="both"/>
        <w:rPr>
          <w:rFonts w:cstheme="minorHAnsi"/>
          <w:bCs/>
          <w:iCs/>
        </w:rPr>
      </w:pPr>
    </w:p>
    <w:p w:rsidR="00162B7F" w:rsidRPr="00ED4FF1" w:rsidP="00162B7F">
      <w:pPr>
        <w:pStyle w:val="Heading2"/>
      </w:pPr>
      <w:r w:rsidRPr="00ED4FF1">
        <w:t xml:space="preserve">Appendices </w:t>
      </w:r>
    </w:p>
    <w:p w:rsidR="00162B7F" w:rsidRPr="00883AC9" w:rsidP="00162B7F">
      <w:pPr>
        <w:rPr>
          <w:rFonts w:eastAsia="Times New Roman" w:cstheme="minorHAnsi"/>
          <w:bCs/>
          <w:iCs/>
          <w:color w:val="000000" w:themeColor="text1"/>
          <w:kern w:val="36"/>
          <w:lang w:eastAsia="en-GB"/>
        </w:rPr>
      </w:pPr>
      <w:r w:rsidRPr="00883AC9">
        <w:rPr>
          <w:rFonts w:eastAsia="Times New Roman" w:cstheme="minorHAnsi"/>
          <w:bCs/>
          <w:iCs/>
          <w:color w:val="000000" w:themeColor="text1"/>
          <w:kern w:val="36"/>
          <w:lang w:eastAsia="en-GB"/>
        </w:rPr>
        <w:t>Appendix A</w:t>
      </w:r>
      <w:r>
        <w:rPr>
          <w:rFonts w:eastAsia="Times New Roman" w:cstheme="minorHAnsi"/>
          <w:bCs/>
          <w:iCs/>
          <w:color w:val="000000" w:themeColor="text1"/>
          <w:kern w:val="36"/>
          <w:lang w:eastAsia="en-GB"/>
        </w:rPr>
        <w:t xml:space="preserve"> – </w:t>
      </w:r>
      <w:r>
        <w:rPr>
          <w:rFonts w:cstheme="minorHAnsi"/>
          <w:bCs/>
        </w:rPr>
        <w:t>2021/22 Capital Programme</w:t>
      </w:r>
    </w:p>
    <w:p w:rsidR="00162B7F" w:rsidRPr="00883AC9" w:rsidP="00162B7F">
      <w:pPr>
        <w:rPr>
          <w:rFonts w:eastAsia="Times New Roman" w:cstheme="minorHAnsi"/>
          <w:bCs/>
          <w:iCs/>
          <w:color w:val="000000" w:themeColor="text1"/>
          <w:kern w:val="36"/>
          <w:lang w:eastAsia="en-GB"/>
        </w:rPr>
      </w:pPr>
      <w:r w:rsidRPr="00883AC9">
        <w:rPr>
          <w:rFonts w:eastAsia="Times New Roman" w:cstheme="minorHAnsi"/>
          <w:bCs/>
          <w:iCs/>
          <w:color w:val="000000" w:themeColor="text1"/>
          <w:kern w:val="36"/>
          <w:lang w:eastAsia="en-GB"/>
        </w:rPr>
        <w:t xml:space="preserve">Appendix B </w:t>
      </w:r>
      <w:r>
        <w:rPr>
          <w:rFonts w:eastAsia="Times New Roman" w:cstheme="minorHAnsi"/>
          <w:bCs/>
          <w:iCs/>
          <w:color w:val="000000" w:themeColor="text1"/>
          <w:kern w:val="36"/>
          <w:lang w:eastAsia="en-GB"/>
        </w:rPr>
        <w:t xml:space="preserve">– </w:t>
      </w:r>
      <w:r>
        <w:rPr>
          <w:rFonts w:cstheme="minorHAnsi"/>
          <w:bCs/>
        </w:rPr>
        <w:t>2021/22 Capital Programme Scheme Variations</w:t>
      </w:r>
    </w:p>
    <w:p w:rsidR="00162B7F" w:rsidP="00162B7F">
      <w:pPr>
        <w:jc w:val="both"/>
        <w:rPr>
          <w:rFonts w:cstheme="minorHAnsi"/>
          <w:bCs/>
        </w:rPr>
      </w:pPr>
    </w:p>
    <w:p w:rsidR="00826DFA" w:rsidP="00162B7F">
      <w:pPr>
        <w:jc w:val="both"/>
        <w:rPr>
          <w:rFonts w:cstheme="minorHAnsi"/>
          <w:bCs/>
        </w:rPr>
      </w:pPr>
    </w:p>
    <w:tbl>
      <w:tblPr>
        <w:tblStyle w:val="TableGrid"/>
        <w:tblW w:w="0" w:type="auto"/>
        <w:tblLook w:val="04A0"/>
      </w:tblPr>
      <w:tblGrid>
        <w:gridCol w:w="3056"/>
        <w:gridCol w:w="3631"/>
        <w:gridCol w:w="1256"/>
        <w:gridCol w:w="1073"/>
      </w:tblGrid>
      <w:tr w:rsidTr="003F3DFE">
        <w:tblPrEx>
          <w:tblW w:w="0" w:type="auto"/>
          <w:tblLook w:val="04A0"/>
        </w:tblPrEx>
        <w:tc>
          <w:tcPr>
            <w:tcW w:w="5240" w:type="dxa"/>
          </w:tcPr>
          <w:p w:rsidR="003F3DFE" w:rsidP="003F3DFE">
            <w:pPr>
              <w:rPr>
                <w:rFonts w:cstheme="minorHAnsi"/>
                <w:bCs/>
              </w:rPr>
            </w:pPr>
            <w:r w:rsidRPr="00D4431F">
              <w:rPr>
                <w:rFonts w:cstheme="minorHAnsi"/>
                <w:bCs/>
              </w:rPr>
              <w:t>Report Author</w:t>
            </w:r>
          </w:p>
        </w:tc>
        <w:tc>
          <w:tcPr>
            <w:tcW w:w="1447" w:type="dxa"/>
          </w:tcPr>
          <w:p w:rsidR="003F3DFE" w:rsidP="003F3DFE">
            <w:pPr>
              <w:rPr>
                <w:rFonts w:cstheme="minorHAnsi"/>
                <w:bCs/>
              </w:rPr>
            </w:pPr>
            <w:r w:rsidRPr="00D4431F">
              <w:rPr>
                <w:rFonts w:cstheme="minorHAnsi"/>
                <w:bCs/>
              </w:rPr>
              <w:t>Email</w:t>
            </w:r>
          </w:p>
        </w:tc>
        <w:tc>
          <w:tcPr>
            <w:tcW w:w="1256" w:type="dxa"/>
          </w:tcPr>
          <w:p w:rsidR="003F3DFE" w:rsidP="003F3DFE">
            <w:pPr>
              <w:rPr>
                <w:rFonts w:cstheme="minorHAnsi"/>
                <w:bCs/>
              </w:rPr>
            </w:pPr>
            <w:r w:rsidRPr="00D4431F">
              <w:rPr>
                <w:rFonts w:cstheme="minorHAnsi"/>
                <w:bCs/>
              </w:rPr>
              <w:t>Telephone</w:t>
            </w:r>
          </w:p>
        </w:tc>
        <w:tc>
          <w:tcPr>
            <w:tcW w:w="1073" w:type="dxa"/>
          </w:tcPr>
          <w:p w:rsidR="003F3DFE" w:rsidP="003F3DFE">
            <w:pPr>
              <w:rPr>
                <w:rFonts w:cstheme="minorHAnsi"/>
                <w:bCs/>
              </w:rPr>
            </w:pPr>
            <w:r w:rsidRPr="00D4431F">
              <w:rPr>
                <w:rFonts w:cstheme="minorHAnsi"/>
                <w:bCs/>
              </w:rPr>
              <w:t>Date</w:t>
            </w:r>
          </w:p>
        </w:tc>
      </w:tr>
      <w:tr w:rsidTr="003F3DFE">
        <w:tblPrEx>
          <w:tblW w:w="0" w:type="auto"/>
          <w:tblLook w:val="04A0"/>
        </w:tblPrEx>
        <w:tc>
          <w:tcPr>
            <w:tcW w:w="5240" w:type="dxa"/>
          </w:tcPr>
          <w:p w:rsidR="003F3DFE" w:rsidP="003F3DFE">
            <w:pPr>
              <w:rPr>
                <w:rFonts w:cstheme="minorHAnsi"/>
                <w:bCs/>
              </w:rPr>
            </w:pPr>
            <w:r>
              <w:rPr>
                <w:rFonts w:cstheme="minorHAnsi"/>
                <w:bCs/>
              </w:rPr>
              <w:t xml:space="preserve">Neil Halton (Principal Management Accountant), James </w:t>
            </w:r>
            <w:r>
              <w:rPr>
                <w:rFonts w:cstheme="minorHAnsi"/>
                <w:bCs/>
              </w:rPr>
              <w:t>McNulty (Senior Management Accountant)</w:t>
            </w:r>
          </w:p>
        </w:tc>
        <w:tc>
          <w:tcPr>
            <w:tcW w:w="1447" w:type="dxa"/>
          </w:tcPr>
          <w:p w:rsidR="003F3DFE" w:rsidP="003F3DFE">
            <w:pPr>
              <w:rPr>
                <w:rFonts w:cstheme="minorHAnsi"/>
                <w:bCs/>
              </w:rPr>
            </w:pPr>
            <w:r w:rsidRPr="003F3DFE">
              <w:rPr>
                <w:rFonts w:cstheme="minorHAnsi"/>
                <w:bCs/>
              </w:rPr>
              <w:t>neil.halton@southribble.gov.uk, james.mcnulty@southribble.gov.uk</w:t>
            </w:r>
          </w:p>
        </w:tc>
        <w:tc>
          <w:tcPr>
            <w:tcW w:w="1256" w:type="dxa"/>
          </w:tcPr>
          <w:p w:rsidR="003F3DFE" w:rsidP="003F3DFE">
            <w:pPr>
              <w:rPr>
                <w:rFonts w:cstheme="minorHAnsi"/>
                <w:bCs/>
              </w:rPr>
            </w:pPr>
            <w:r w:rsidRPr="00D4431F">
              <w:rPr>
                <w:rFonts w:cstheme="minorHAnsi"/>
                <w:bCs/>
              </w:rPr>
              <w:t>01772 62</w:t>
            </w:r>
            <w:r>
              <w:rPr>
                <w:rFonts w:cstheme="minorHAnsi"/>
                <w:bCs/>
              </w:rPr>
              <w:t>5625</w:t>
            </w:r>
          </w:p>
        </w:tc>
        <w:tc>
          <w:tcPr>
            <w:tcW w:w="1073" w:type="dxa"/>
          </w:tcPr>
          <w:p w:rsidR="003F3DFE" w:rsidP="003F3DFE">
            <w:pPr>
              <w:rPr>
                <w:rFonts w:cstheme="minorHAnsi"/>
                <w:bCs/>
              </w:rPr>
            </w:pPr>
            <w:r>
              <w:rPr>
                <w:rFonts w:cstheme="minorHAnsi"/>
                <w:bCs/>
              </w:rPr>
              <w:t>15/02/22</w:t>
            </w:r>
          </w:p>
        </w:tc>
      </w:tr>
    </w:tbl>
    <w:p w:rsidR="003F3DFE" w:rsidP="00162B7F">
      <w:pPr>
        <w:jc w:val="both"/>
        <w:rPr>
          <w:rFonts w:cstheme="minorHAnsi"/>
          <w:bCs/>
        </w:rPr>
      </w:pPr>
    </w:p>
    <w:sectPr w:rsidSect="001C0571">
      <w:pgSz w:w="11906" w:h="16838"/>
      <w:pgMar w:top="1440" w:right="1440" w:bottom="1440" w:left="1440"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F4001DA"/>
    <w:multiLevelType w:val="hybridMultilevel"/>
    <w:tmpl w:val="70F84C5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2D682B4B"/>
    <w:multiLevelType w:val="hybridMultilevel"/>
    <w:tmpl w:val="27D0AF2A"/>
    <w:lvl w:ilvl="0">
      <w:start w:val="1"/>
      <w:numFmt w:val="bullet"/>
      <w:lvlText w:val=""/>
      <w:lvlJc w:val="left"/>
      <w:pPr>
        <w:ind w:left="990" w:hanging="360"/>
      </w:pPr>
      <w:rPr>
        <w:rFonts w:ascii="Symbol" w:hAnsi="Symbol" w:hint="default"/>
      </w:rPr>
    </w:lvl>
    <w:lvl w:ilvl="1" w:tentative="1">
      <w:start w:val="1"/>
      <w:numFmt w:val="bullet"/>
      <w:lvlText w:val="o"/>
      <w:lvlJc w:val="left"/>
      <w:pPr>
        <w:ind w:left="1710" w:hanging="360"/>
      </w:pPr>
      <w:rPr>
        <w:rFonts w:ascii="Courier New" w:hAnsi="Courier New" w:cs="Courier New" w:hint="default"/>
      </w:rPr>
    </w:lvl>
    <w:lvl w:ilvl="2" w:tentative="1">
      <w:start w:val="1"/>
      <w:numFmt w:val="bullet"/>
      <w:lvlText w:val=""/>
      <w:lvlJc w:val="left"/>
      <w:pPr>
        <w:ind w:left="2430" w:hanging="360"/>
      </w:pPr>
      <w:rPr>
        <w:rFonts w:ascii="Wingdings" w:hAnsi="Wingdings" w:hint="default"/>
      </w:rPr>
    </w:lvl>
    <w:lvl w:ilvl="3" w:tentative="1">
      <w:start w:val="1"/>
      <w:numFmt w:val="bullet"/>
      <w:lvlText w:val=""/>
      <w:lvlJc w:val="left"/>
      <w:pPr>
        <w:ind w:left="3150" w:hanging="360"/>
      </w:pPr>
      <w:rPr>
        <w:rFonts w:ascii="Symbol" w:hAnsi="Symbol" w:hint="default"/>
      </w:rPr>
    </w:lvl>
    <w:lvl w:ilvl="4" w:tentative="1">
      <w:start w:val="1"/>
      <w:numFmt w:val="bullet"/>
      <w:lvlText w:val="o"/>
      <w:lvlJc w:val="left"/>
      <w:pPr>
        <w:ind w:left="3870" w:hanging="360"/>
      </w:pPr>
      <w:rPr>
        <w:rFonts w:ascii="Courier New" w:hAnsi="Courier New" w:cs="Courier New" w:hint="default"/>
      </w:rPr>
    </w:lvl>
    <w:lvl w:ilvl="5" w:tentative="1">
      <w:start w:val="1"/>
      <w:numFmt w:val="bullet"/>
      <w:lvlText w:val=""/>
      <w:lvlJc w:val="left"/>
      <w:pPr>
        <w:ind w:left="4590" w:hanging="360"/>
      </w:pPr>
      <w:rPr>
        <w:rFonts w:ascii="Wingdings" w:hAnsi="Wingdings" w:hint="default"/>
      </w:rPr>
    </w:lvl>
    <w:lvl w:ilvl="6" w:tentative="1">
      <w:start w:val="1"/>
      <w:numFmt w:val="bullet"/>
      <w:lvlText w:val=""/>
      <w:lvlJc w:val="left"/>
      <w:pPr>
        <w:ind w:left="5310" w:hanging="360"/>
      </w:pPr>
      <w:rPr>
        <w:rFonts w:ascii="Symbol" w:hAnsi="Symbol" w:hint="default"/>
      </w:rPr>
    </w:lvl>
    <w:lvl w:ilvl="7" w:tentative="1">
      <w:start w:val="1"/>
      <w:numFmt w:val="bullet"/>
      <w:lvlText w:val="o"/>
      <w:lvlJc w:val="left"/>
      <w:pPr>
        <w:ind w:left="6030" w:hanging="360"/>
      </w:pPr>
      <w:rPr>
        <w:rFonts w:ascii="Courier New" w:hAnsi="Courier New" w:cs="Courier New" w:hint="default"/>
      </w:rPr>
    </w:lvl>
    <w:lvl w:ilvl="8" w:tentative="1">
      <w:start w:val="1"/>
      <w:numFmt w:val="bullet"/>
      <w:lvlText w:val=""/>
      <w:lvlJc w:val="left"/>
      <w:pPr>
        <w:ind w:left="6750" w:hanging="360"/>
      </w:pPr>
      <w:rPr>
        <w:rFonts w:ascii="Wingdings" w:hAnsi="Wingdings" w:hint="default"/>
      </w:rPr>
    </w:lvl>
  </w:abstractNum>
  <w:abstractNum w:abstractNumId="2">
    <w:nsid w:val="3B0324D4"/>
    <w:multiLevelType w:val="hybridMultilevel"/>
    <w:tmpl w:val="0CE2B5E6"/>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441C3A39"/>
    <w:multiLevelType w:val="hybridMultilevel"/>
    <w:tmpl w:val="6266809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447B6152"/>
    <w:multiLevelType w:val="hybridMultilevel"/>
    <w:tmpl w:val="907A2CF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53EC42E2"/>
    <w:multiLevelType w:val="hybridMultilevel"/>
    <w:tmpl w:val="37ECB20A"/>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597811DD"/>
    <w:multiLevelType w:val="hybridMultilevel"/>
    <w:tmpl w:val="FA5C2D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C4D2CDE"/>
    <w:multiLevelType w:val="hybridMultilevel"/>
    <w:tmpl w:val="5B6827D0"/>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EBF00E5"/>
    <w:multiLevelType w:val="hybridMultilevel"/>
    <w:tmpl w:val="F4C482C4"/>
    <w:lvl w:ilvl="0">
      <w:start w:val="1"/>
      <w:numFmt w:val="decimal"/>
      <w:lvlText w:val="%1."/>
      <w:lvlJc w:val="left"/>
      <w:pPr>
        <w:ind w:left="360" w:hanging="360"/>
      </w:pPr>
      <w:rPr>
        <w:rFonts w:ascii="Arial" w:hAnsi="Arial" w:hint="default"/>
        <w:b w:val="0"/>
        <w:bCs w:val="0"/>
        <w:i w:val="0"/>
        <w:color w:val="auto"/>
        <w:sz w:val="22"/>
        <w:szCs w:val="2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687524EC"/>
    <w:multiLevelType w:val="hybridMultilevel"/>
    <w:tmpl w:val="C83AE318"/>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6E981066"/>
    <w:multiLevelType w:val="hybridMultilevel"/>
    <w:tmpl w:val="29A03522"/>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6EA73E20"/>
    <w:multiLevelType w:val="hybridMultilevel"/>
    <w:tmpl w:val="18DCF54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7A2B16DA"/>
    <w:multiLevelType w:val="hybridMultilevel"/>
    <w:tmpl w:val="043A7D9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6872A1"/>
    <w:multiLevelType w:val="hybridMultilevel"/>
    <w:tmpl w:val="700E460A"/>
    <w:lvl w:ilvl="0">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7FEF54B2"/>
    <w:multiLevelType w:val="hybridMultilevel"/>
    <w:tmpl w:val="75B62AC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3"/>
  </w:num>
  <w:num w:numId="2">
    <w:abstractNumId w:val="10"/>
  </w:num>
  <w:num w:numId="3">
    <w:abstractNumId w:val="7"/>
  </w:num>
  <w:num w:numId="4">
    <w:abstractNumId w:val="9"/>
  </w:num>
  <w:num w:numId="5">
    <w:abstractNumId w:val="5"/>
  </w:num>
  <w:num w:numId="6">
    <w:abstractNumId w:val="1"/>
  </w:num>
  <w:num w:numId="7">
    <w:abstractNumId w:val="2"/>
  </w:num>
  <w:num w:numId="8">
    <w:abstractNumId w:val="8"/>
  </w:num>
  <w:num w:numId="9">
    <w:abstractNumId w:val="14"/>
  </w:num>
  <w:num w:numId="10">
    <w:abstractNumId w:val="6"/>
  </w:num>
  <w:num w:numId="11">
    <w:abstractNumId w:val="3"/>
  </w:num>
  <w:num w:numId="12">
    <w:abstractNumId w:val="12"/>
  </w:num>
  <w:num w:numId="13">
    <w:abstractNumId w:val="4"/>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F43"/>
    <w:pPr>
      <w:spacing w:after="0" w:line="240" w:lineRule="auto"/>
    </w:pPr>
  </w:style>
  <w:style w:type="paragraph" w:styleId="Heading1">
    <w:name w:val="heading 1"/>
    <w:next w:val="Normal"/>
    <w:link w:val="Heading1Char"/>
    <w:uiPriority w:val="9"/>
    <w:qFormat/>
    <w:rsid w:val="00052DF7"/>
    <w:pPr>
      <w:outlineLvl w:val="0"/>
    </w:pPr>
    <w:rPr>
      <w:rFonts w:eastAsia="Times New Roman" w:asciiTheme="majorHAnsi" w:hAnsiTheme="majorHAnsi" w:cstheme="majorHAnsi"/>
      <w:b/>
      <w:bCs/>
      <w:u w:val="single"/>
      <w:lang w:eastAsia="en-GB"/>
    </w:rPr>
  </w:style>
  <w:style w:type="paragraph" w:styleId="Heading2">
    <w:name w:val="heading 2"/>
    <w:next w:val="Normal"/>
    <w:link w:val="Heading2Char"/>
    <w:uiPriority w:val="9"/>
    <w:qFormat/>
    <w:rsid w:val="00207F43"/>
    <w:pPr>
      <w:spacing w:line="240" w:lineRule="auto"/>
      <w:outlineLvl w:val="1"/>
    </w:pPr>
    <w:rPr>
      <w:rFonts w:ascii="Arial" w:eastAsia="Times New Roman" w:hAnsi="Arial" w:cstheme="majorHAnsi"/>
      <w:b/>
      <w:bCs/>
      <w:lang w:eastAsia="en-GB"/>
    </w:rPr>
  </w:style>
  <w:style w:type="paragraph" w:styleId="Heading3">
    <w:name w:val="heading 3"/>
    <w:basedOn w:val="Normal"/>
    <w:next w:val="Normal"/>
    <w:link w:val="Heading3Char"/>
    <w:uiPriority w:val="9"/>
    <w:unhideWhenUsed/>
    <w:qFormat/>
    <w:rsid w:val="005C459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2DF7"/>
    <w:rPr>
      <w:rFonts w:eastAsia="Times New Roman" w:asciiTheme="majorHAnsi" w:hAnsiTheme="majorHAnsi" w:cstheme="majorHAnsi"/>
      <w:b/>
      <w:bCs/>
      <w:u w:val="single"/>
      <w:lang w:eastAsia="en-GB"/>
    </w:rPr>
  </w:style>
  <w:style w:type="character" w:customStyle="1" w:styleId="Heading2Char">
    <w:name w:val="Heading 2 Char"/>
    <w:basedOn w:val="DefaultParagraphFont"/>
    <w:link w:val="Heading2"/>
    <w:uiPriority w:val="9"/>
    <w:rsid w:val="00207F43"/>
    <w:rPr>
      <w:rFonts w:ascii="Arial" w:eastAsia="Times New Roman" w:hAnsi="Arial" w:cstheme="majorHAnsi"/>
      <w:b/>
      <w:bCs/>
      <w:lang w:eastAsia="en-GB"/>
    </w:rPr>
  </w:style>
  <w:style w:type="paragraph" w:styleId="NormalWeb">
    <w:name w:val="Normal (Web)"/>
    <w:basedOn w:val="Normal"/>
    <w:uiPriority w:val="99"/>
    <w:semiHidden/>
    <w:unhideWhenUsed/>
    <w:rsid w:val="00774BC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4571CA"/>
    <w:pPr>
      <w:ind w:left="720"/>
      <w:contextualSpacing/>
    </w:pPr>
  </w:style>
  <w:style w:type="paragraph" w:customStyle="1" w:styleId="Style1">
    <w:name w:val="Style1"/>
    <w:basedOn w:val="Normal"/>
    <w:qFormat/>
    <w:rsid w:val="005C459D"/>
    <w:pPr>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character" w:styleId="CommentReference">
    <w:name w:val="annotation reference"/>
    <w:uiPriority w:val="99"/>
    <w:rsid w:val="00837C0A"/>
    <w:rPr>
      <w:sz w:val="16"/>
      <w:szCs w:val="16"/>
    </w:rPr>
  </w:style>
  <w:style w:type="paragraph" w:styleId="CommentText">
    <w:name w:val="annotation text"/>
    <w:basedOn w:val="Normal"/>
    <w:link w:val="CommentTextChar"/>
    <w:uiPriority w:val="99"/>
    <w:rsid w:val="00837C0A"/>
    <w:pPr>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837C0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B59B0"/>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B59B0"/>
    <w:rPr>
      <w:rFonts w:ascii="Arial" w:eastAsia="Times New Roman" w:hAnsi="Arial" w:cs="Times New Roman"/>
      <w:b/>
      <w:bCs/>
      <w:sz w:val="20"/>
      <w:szCs w:val="20"/>
    </w:rPr>
  </w:style>
  <w:style w:type="paragraph" w:styleId="Title">
    <w:name w:val="Title"/>
    <w:next w:val="Normal"/>
    <w:link w:val="TitleChar"/>
    <w:uiPriority w:val="10"/>
    <w:qFormat/>
    <w:rsid w:val="003502D6"/>
    <w:pPr>
      <w:jc w:val="both"/>
    </w:pPr>
    <w:rPr>
      <w:rFonts w:eastAsia="Times New Roman" w:asciiTheme="majorHAnsi" w:hAnsiTheme="majorHAnsi" w:cstheme="majorHAnsi"/>
      <w:b/>
      <w:bCs/>
      <w:sz w:val="28"/>
      <w:szCs w:val="28"/>
      <w:u w:val="single"/>
      <w:lang w:eastAsia="en-GB"/>
    </w:rPr>
  </w:style>
  <w:style w:type="character" w:customStyle="1" w:styleId="TitleChar">
    <w:name w:val="Title Char"/>
    <w:basedOn w:val="DefaultParagraphFont"/>
    <w:link w:val="Title"/>
    <w:uiPriority w:val="10"/>
    <w:rsid w:val="003502D6"/>
    <w:rPr>
      <w:rFonts w:eastAsia="Times New Roman" w:asciiTheme="majorHAnsi" w:hAnsiTheme="majorHAnsi" w:cstheme="majorHAnsi"/>
      <w:b/>
      <w:bCs/>
      <w:sz w:val="28"/>
      <w:szCs w:val="28"/>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3CF005F-80DC-4DBF-80B1-C93551944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2474</Words>
  <Characters>14104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16545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Clare Gornall</cp:lastModifiedBy>
  <cp:revision>9</cp:revision>
  <cp:lastPrinted>2014-03-21T13:56:00Z</cp:lastPrinted>
  <dcterms:created xsi:type="dcterms:W3CDTF">2022-02-21T09:42:00Z</dcterms:created>
  <dcterms:modified xsi:type="dcterms:W3CDTF">2022-03-11T11:49:00Z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Scrutiny Budget and Performance Panel</vt:lpwstr>
  </property>
  <property fmtid="{D5CDD505-2E9C-101B-9397-08002B2CF9AE}" pid="3" name="IssueTitle">
    <vt:lpwstr>Capital Budget Monitoring</vt:lpwstr>
  </property>
  <property fmtid="{D5CDD505-2E9C-101B-9397-08002B2CF9AE}" pid="4" name="LeadDirector">
    <vt:lpwstr>Director of Finance and Section 151 Officer</vt:lpwstr>
  </property>
  <property fmtid="{D5CDD505-2E9C-101B-9397-08002B2CF9AE}" pid="5" name="LeadMember">
    <vt:lpwstr>Cabinet Member (Finance, Property and Assets)</vt:lpwstr>
  </property>
  <property fmtid="{D5CDD505-2E9C-101B-9397-08002B2CF9AE}" pid="6" name="LeadOfficer">
    <vt:lpwstr>Neil Halton, James McNulty</vt:lpwstr>
  </property>
  <property fmtid="{D5CDD505-2E9C-101B-9397-08002B2CF9AE}" pid="7" name="LeadOfficerEmail">
    <vt:lpwstr>neil.halton@southribble.gov.uk, james.mcnulty@southribble.gov.uk</vt:lpwstr>
  </property>
  <property fmtid="{D5CDD505-2E9C-101B-9397-08002B2CF9AE}" pid="8" name="LeadOfficerPost">
    <vt:lpwstr>Senior Management Accountant, Senior Management Accountant</vt:lpwstr>
  </property>
  <property fmtid="{D5CDD505-2E9C-101B-9397-08002B2CF9AE}" pid="9" name="MeetingDate">
    <vt:lpwstr>Monday, 21 March 2022</vt:lpwstr>
  </property>
  <property fmtid="{D5CDD505-2E9C-101B-9397-08002B2CF9AE}" pid="10" name="MeetingDateLegal">
    <vt:lpwstr>MeetingDateLegal</vt:lpwstr>
  </property>
</Properties>
</file>